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AF46D" w14:textId="7289D23D" w:rsidR="0054286D" w:rsidRPr="004B19F7" w:rsidRDefault="0054286D" w:rsidP="0054286D">
      <w:pPr>
        <w:pStyle w:val="3GPPHeader"/>
        <w:spacing w:after="60"/>
        <w:rPr>
          <w:rFonts w:cs="Arial"/>
          <w:sz w:val="32"/>
          <w:szCs w:val="32"/>
        </w:rPr>
      </w:pPr>
      <w:bookmarkStart w:id="0" w:name="_GoBack"/>
      <w:r w:rsidRPr="004B19F7">
        <w:rPr>
          <w:rFonts w:cs="Arial"/>
        </w:rPr>
        <w:t>3GPP TSG-RAN WG1 Meeting #9</w:t>
      </w:r>
      <w:r w:rsidR="00EC3EF9" w:rsidRPr="004B19F7">
        <w:rPr>
          <w:rFonts w:cs="Arial"/>
        </w:rPr>
        <w:t>1</w:t>
      </w:r>
      <w:r w:rsidRPr="004B19F7">
        <w:rPr>
          <w:rFonts w:cs="Arial"/>
        </w:rPr>
        <w:tab/>
        <w:t>R1-17</w:t>
      </w:r>
      <w:r w:rsidR="001F7F88">
        <w:rPr>
          <w:rFonts w:cs="Arial"/>
        </w:rPr>
        <w:t>19363</w:t>
      </w:r>
    </w:p>
    <w:p w14:paraId="30AFDADB" w14:textId="1DFD24D3" w:rsidR="0054286D" w:rsidRPr="004B19F7" w:rsidRDefault="00EC3EF9" w:rsidP="0054286D">
      <w:pPr>
        <w:pStyle w:val="3GPPHeader"/>
        <w:rPr>
          <w:rFonts w:cs="Arial"/>
        </w:rPr>
      </w:pPr>
      <w:r w:rsidRPr="004B19F7">
        <w:rPr>
          <w:rFonts w:cs="Arial"/>
        </w:rPr>
        <w:t>Reno Nevada, USA 27</w:t>
      </w:r>
      <w:r w:rsidRPr="004B19F7">
        <w:rPr>
          <w:rFonts w:cs="Arial"/>
          <w:vertAlign w:val="superscript"/>
        </w:rPr>
        <w:t>th</w:t>
      </w:r>
      <w:r w:rsidRPr="004B19F7">
        <w:rPr>
          <w:rFonts w:cs="Arial"/>
        </w:rPr>
        <w:t xml:space="preserve"> Nov – 1</w:t>
      </w:r>
      <w:r w:rsidRPr="004B19F7">
        <w:rPr>
          <w:rFonts w:cs="Arial"/>
          <w:vertAlign w:val="superscript"/>
        </w:rPr>
        <w:t>th</w:t>
      </w:r>
      <w:r w:rsidRPr="004B19F7">
        <w:rPr>
          <w:rFonts w:cs="Arial"/>
        </w:rPr>
        <w:t xml:space="preserve"> Dec 2017</w:t>
      </w:r>
    </w:p>
    <w:p w14:paraId="656BD48E" w14:textId="77777777" w:rsidR="0054286D" w:rsidRPr="004B19F7" w:rsidRDefault="0054286D" w:rsidP="0054286D">
      <w:pPr>
        <w:pStyle w:val="3GPPHeader"/>
        <w:rPr>
          <w:rFonts w:cs="Arial"/>
        </w:rPr>
      </w:pPr>
    </w:p>
    <w:p w14:paraId="74C632FC" w14:textId="3620CBE3" w:rsidR="0054286D" w:rsidRPr="00232D90" w:rsidRDefault="0054286D" w:rsidP="0054286D">
      <w:pPr>
        <w:pStyle w:val="3GPPHeader"/>
        <w:rPr>
          <w:rFonts w:cs="Arial"/>
          <w:sz w:val="22"/>
        </w:rPr>
      </w:pPr>
      <w:r w:rsidRPr="00232D90">
        <w:rPr>
          <w:rFonts w:cs="Arial"/>
          <w:sz w:val="22"/>
        </w:rPr>
        <w:t>Agenda Item:</w:t>
      </w:r>
      <w:r w:rsidRPr="00232D90">
        <w:rPr>
          <w:rFonts w:cs="Arial"/>
          <w:sz w:val="22"/>
        </w:rPr>
        <w:tab/>
      </w:r>
      <w:r w:rsidR="001F7F88" w:rsidRPr="001F7F88">
        <w:rPr>
          <w:rFonts w:cs="Arial"/>
          <w:sz w:val="22"/>
        </w:rPr>
        <w:t>6</w:t>
      </w:r>
      <w:r w:rsidR="00740F20" w:rsidRPr="001F7F88">
        <w:rPr>
          <w:rFonts w:cs="Arial"/>
          <w:sz w:val="22"/>
        </w:rPr>
        <w:t>.</w:t>
      </w:r>
      <w:r w:rsidR="001F7F88" w:rsidRPr="001F7F88">
        <w:rPr>
          <w:rFonts w:cs="Arial"/>
          <w:sz w:val="22"/>
        </w:rPr>
        <w:t>2</w:t>
      </w:r>
      <w:r w:rsidR="00740F20" w:rsidRPr="001F7F88">
        <w:rPr>
          <w:rFonts w:cs="Arial"/>
          <w:sz w:val="22"/>
        </w:rPr>
        <w:t>.</w:t>
      </w:r>
      <w:r w:rsidR="001F7F88" w:rsidRPr="001F7F88">
        <w:rPr>
          <w:rFonts w:cs="Arial"/>
          <w:sz w:val="22"/>
        </w:rPr>
        <w:t>6</w:t>
      </w:r>
      <w:r w:rsidR="00740F20" w:rsidRPr="001F7F88">
        <w:rPr>
          <w:rFonts w:cs="Arial"/>
          <w:sz w:val="22"/>
        </w:rPr>
        <w:t>.</w:t>
      </w:r>
      <w:r w:rsidR="001F7F88" w:rsidRPr="001F7F88">
        <w:rPr>
          <w:rFonts w:cs="Arial"/>
          <w:sz w:val="22"/>
        </w:rPr>
        <w:t>3</w:t>
      </w:r>
      <w:r w:rsidR="00740F20" w:rsidRPr="001F7F88">
        <w:rPr>
          <w:rFonts w:cs="Arial"/>
          <w:sz w:val="22"/>
        </w:rPr>
        <w:t>.</w:t>
      </w:r>
      <w:r w:rsidR="001F7F88" w:rsidRPr="001F7F88">
        <w:rPr>
          <w:rFonts w:cs="Arial"/>
          <w:sz w:val="22"/>
        </w:rPr>
        <w:t>3</w:t>
      </w:r>
    </w:p>
    <w:p w14:paraId="729EE0DC" w14:textId="77777777" w:rsidR="0054286D" w:rsidRPr="004B19F7" w:rsidRDefault="0054286D" w:rsidP="0054286D">
      <w:pPr>
        <w:pStyle w:val="3GPPHeader"/>
        <w:rPr>
          <w:rFonts w:cs="Arial"/>
          <w:sz w:val="22"/>
        </w:rPr>
      </w:pPr>
      <w:r w:rsidRPr="004B19F7">
        <w:rPr>
          <w:rFonts w:cs="Arial"/>
          <w:sz w:val="22"/>
        </w:rPr>
        <w:t xml:space="preserve">Source: </w:t>
      </w:r>
      <w:r w:rsidRPr="004B19F7">
        <w:rPr>
          <w:rFonts w:cs="Arial"/>
          <w:sz w:val="22"/>
        </w:rPr>
        <w:tab/>
        <w:t>Ericsson</w:t>
      </w:r>
    </w:p>
    <w:p w14:paraId="542546BD" w14:textId="6F1936FD" w:rsidR="0054286D" w:rsidRPr="004B19F7" w:rsidRDefault="0054286D" w:rsidP="0054286D">
      <w:pPr>
        <w:pStyle w:val="3GPPHeader"/>
        <w:ind w:left="1695" w:hanging="1695"/>
        <w:rPr>
          <w:rFonts w:cs="Arial"/>
          <w:sz w:val="22"/>
        </w:rPr>
      </w:pPr>
      <w:r w:rsidRPr="004B19F7">
        <w:rPr>
          <w:rFonts w:cs="Arial"/>
          <w:sz w:val="22"/>
        </w:rPr>
        <w:t xml:space="preserve">Title:  </w:t>
      </w:r>
      <w:r w:rsidRPr="004B19F7">
        <w:rPr>
          <w:rFonts w:cs="Arial"/>
          <w:sz w:val="22"/>
        </w:rPr>
        <w:tab/>
      </w:r>
      <w:r w:rsidR="001F7F88">
        <w:rPr>
          <w:rFonts w:cs="Arial"/>
          <w:sz w:val="22"/>
        </w:rPr>
        <w:t>DL/UL common aspects of</w:t>
      </w:r>
      <w:r w:rsidR="001A2EEC" w:rsidRPr="004B19F7">
        <w:rPr>
          <w:rFonts w:cs="Arial"/>
          <w:sz w:val="22"/>
        </w:rPr>
        <w:t xml:space="preserve"> TDD for NB-IoT</w:t>
      </w:r>
    </w:p>
    <w:p w14:paraId="3517B360" w14:textId="77777777" w:rsidR="0054286D" w:rsidRPr="00740F20" w:rsidRDefault="0054286D" w:rsidP="0054286D">
      <w:pPr>
        <w:pStyle w:val="3GPPHeader"/>
        <w:rPr>
          <w:rFonts w:cs="Arial"/>
          <w:sz w:val="22"/>
        </w:rPr>
      </w:pPr>
      <w:r w:rsidRPr="00740F20">
        <w:rPr>
          <w:rFonts w:cs="Arial"/>
          <w:sz w:val="22"/>
        </w:rPr>
        <w:t>Document for:</w:t>
      </w:r>
      <w:r w:rsidRPr="00740F20">
        <w:rPr>
          <w:rFonts w:cs="Arial"/>
          <w:sz w:val="22"/>
        </w:rPr>
        <w:tab/>
        <w:t>Discussion and Decision</w:t>
      </w:r>
    </w:p>
    <w:p w14:paraId="6949473C" w14:textId="77777777" w:rsidR="0054286D" w:rsidRPr="00B91613" w:rsidRDefault="0054286D" w:rsidP="0054286D">
      <w:pPr>
        <w:pStyle w:val="Heading1"/>
        <w:rPr>
          <w:lang w:val="en-US"/>
        </w:rPr>
      </w:pPr>
      <w:r w:rsidRPr="00B91613">
        <w:rPr>
          <w:lang w:val="en-US"/>
        </w:rPr>
        <w:t>Introduction</w:t>
      </w:r>
    </w:p>
    <w:p w14:paraId="3B3EAF13" w14:textId="77777777" w:rsidR="0054286D" w:rsidRPr="004B19F7" w:rsidRDefault="0054286D" w:rsidP="00F405EF">
      <w:pPr>
        <w:jc w:val="both"/>
        <w:rPr>
          <w:rFonts w:ascii="Times New Roman" w:hAnsi="Times New Roman"/>
          <w:sz w:val="20"/>
          <w:szCs w:val="20"/>
        </w:rPr>
      </w:pPr>
      <w:r w:rsidRPr="004B19F7">
        <w:rPr>
          <w:rFonts w:ascii="Times New Roman" w:hAnsi="Times New Roman"/>
          <w:sz w:val="20"/>
          <w:szCs w:val="20"/>
        </w:rPr>
        <w:t xml:space="preserve">According with the Work Item Description (WID) on further NB-IoT enhancements [1], revised in [2] and recently in [3] (text in a different font colour), one of the objectives refers to work on the support of the TDD operation into NB-IoT, which commenced from RAN #76. </w:t>
      </w:r>
    </w:p>
    <w:p w14:paraId="6ECF436B" w14:textId="77777777" w:rsidR="0054286D" w:rsidRPr="004B19F7" w:rsidRDefault="0054286D" w:rsidP="0054286D">
      <w:pPr>
        <w:ind w:left="567"/>
        <w:rPr>
          <w:rFonts w:ascii="Times New Roman" w:hAnsi="Times New Roman"/>
          <w:b/>
          <w:bCs/>
          <w:sz w:val="20"/>
          <w:szCs w:val="20"/>
        </w:rPr>
      </w:pPr>
      <w:r w:rsidRPr="004B19F7">
        <w:rPr>
          <w:rFonts w:ascii="Times New Roman" w:hAnsi="Times New Roman"/>
          <w:b/>
          <w:bCs/>
          <w:sz w:val="20"/>
          <w:szCs w:val="20"/>
        </w:rPr>
        <w:t>B. Work on the following objective to commence from RAN#76</w:t>
      </w:r>
    </w:p>
    <w:p w14:paraId="205A3FB5" w14:textId="77777777" w:rsidR="0054286D" w:rsidRPr="004B19F7" w:rsidRDefault="0054286D" w:rsidP="0054286D">
      <w:pPr>
        <w:spacing w:after="0"/>
        <w:ind w:left="567"/>
        <w:rPr>
          <w:rFonts w:ascii="Times New Roman" w:hAnsi="Times New Roman"/>
          <w:bCs/>
          <w:sz w:val="20"/>
          <w:szCs w:val="20"/>
          <w:u w:val="single"/>
        </w:rPr>
      </w:pPr>
      <w:r w:rsidRPr="004B19F7">
        <w:rPr>
          <w:rFonts w:ascii="Times New Roman" w:hAnsi="Times New Roman"/>
          <w:b/>
          <w:bCs/>
          <w:sz w:val="20"/>
          <w:szCs w:val="20"/>
          <w:u w:val="single"/>
        </w:rPr>
        <w:t>Support for TDD [RAN1, RAN2, RAN4]</w:t>
      </w:r>
    </w:p>
    <w:p w14:paraId="414AC285" w14:textId="77777777" w:rsidR="0054286D" w:rsidRPr="004B19F7" w:rsidRDefault="0054286D" w:rsidP="0054286D">
      <w:pPr>
        <w:spacing w:after="0"/>
        <w:ind w:left="567"/>
        <w:rPr>
          <w:rFonts w:ascii="Times New Roman" w:hAnsi="Times New Roman"/>
          <w:bCs/>
          <w:sz w:val="20"/>
          <w:szCs w:val="20"/>
        </w:rPr>
      </w:pPr>
    </w:p>
    <w:p w14:paraId="6C1531E5" w14:textId="77777777" w:rsidR="0054286D" w:rsidRPr="004B19F7" w:rsidRDefault="0054286D" w:rsidP="0054286D">
      <w:pPr>
        <w:spacing w:after="0"/>
        <w:ind w:left="567"/>
        <w:rPr>
          <w:rFonts w:ascii="Times New Roman" w:hAnsi="Times New Roman"/>
          <w:bCs/>
          <w:sz w:val="20"/>
          <w:szCs w:val="20"/>
        </w:rPr>
      </w:pPr>
      <w:r w:rsidRPr="004B19F7">
        <w:rPr>
          <w:rFonts w:ascii="Times New Roman" w:hAnsi="Times New Roman"/>
          <w:bCs/>
          <w:sz w:val="20"/>
          <w:szCs w:val="20"/>
        </w:rPr>
        <w:t xml:space="preserve">Specify TDD support for in-band, guard-band, and standalone operation modes of NB-IoT. The design shall assume no UL compensation gaps are needed by UE, and strive towards a common design among the deployment modes. </w:t>
      </w:r>
    </w:p>
    <w:p w14:paraId="04280645" w14:textId="77777777" w:rsidR="0054286D" w:rsidRPr="004B19F7"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4B19F7">
        <w:rPr>
          <w:rFonts w:ascii="Times New Roman" w:hAnsi="Times New Roman"/>
          <w:bCs/>
          <w:sz w:val="20"/>
          <w:szCs w:val="20"/>
        </w:rPr>
        <w:t>Relaxations of MCL and/or latency and/or capacity targets to be considered by RAN1.</w:t>
      </w:r>
    </w:p>
    <w:p w14:paraId="0E854416" w14:textId="77777777" w:rsidR="0054286D" w:rsidRPr="004B19F7"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4B19F7">
        <w:rPr>
          <w:rFonts w:ascii="Times New Roman" w:hAnsi="Times New Roman"/>
          <w:bCs/>
          <w:sz w:val="20"/>
          <w:szCs w:val="20"/>
        </w:rPr>
        <w:t>Baseline is to support the same features as Rel-13 NB-IoT, additionally considering small-cells scenarios.</w:t>
      </w:r>
    </w:p>
    <w:p w14:paraId="2991AA41" w14:textId="77777777" w:rsidR="0054286D" w:rsidRPr="00A51F2A"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A51F2A">
        <w:rPr>
          <w:rFonts w:ascii="Times New Roman" w:hAnsi="Times New Roman"/>
          <w:bCs/>
          <w:sz w:val="20"/>
          <w:szCs w:val="20"/>
        </w:rPr>
        <w:t>In addition to the baseline, support the following:</w:t>
      </w:r>
    </w:p>
    <w:p w14:paraId="543D442C" w14:textId="77777777" w:rsidR="0054286D" w:rsidRPr="00A51F2A"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A51F2A">
        <w:rPr>
          <w:rFonts w:ascii="Times New Roman" w:hAnsi="Times New Roman"/>
          <w:bCs/>
          <w:sz w:val="20"/>
          <w:szCs w:val="20"/>
        </w:rPr>
        <w:t>Based on Rel-14 FDD designs:</w:t>
      </w:r>
    </w:p>
    <w:p w14:paraId="4D6D2D8A" w14:textId="77777777" w:rsidR="0054286D" w:rsidRPr="00A51F2A"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A51F2A">
        <w:rPr>
          <w:rFonts w:ascii="Times New Roman" w:hAnsi="Times New Roman"/>
          <w:bCs/>
          <w:sz w:val="20"/>
          <w:szCs w:val="20"/>
        </w:rPr>
        <w:t>OTDOA positioning using Rel-14 NPRS RE patterns and sequences. Subframe configurations Part A and Part B shall be used with necessary amendments, if any.</w:t>
      </w:r>
    </w:p>
    <w:p w14:paraId="7078F400" w14:textId="77777777" w:rsidR="0054286D" w:rsidRPr="00A51F2A"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A51F2A">
        <w:rPr>
          <w:rFonts w:ascii="Times New Roman" w:hAnsi="Times New Roman"/>
          <w:bCs/>
          <w:sz w:val="20"/>
          <w:szCs w:val="20"/>
        </w:rPr>
        <w:t>Non-anchor carrier operation for paging and random access</w:t>
      </w:r>
    </w:p>
    <w:p w14:paraId="6B35A147" w14:textId="77777777" w:rsidR="0054286D" w:rsidRPr="00A51F2A"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A51F2A">
        <w:rPr>
          <w:rFonts w:ascii="Times New Roman" w:hAnsi="Times New Roman"/>
          <w:bCs/>
          <w:sz w:val="20"/>
          <w:szCs w:val="20"/>
        </w:rPr>
        <w:t>UE category NB2, with the same TBS table as FDD, and support for 1 and 2 UL/DL HARQ processes. The support of 2 UL/DL HARQ processes by UE is an optional capability available to Cat NB2, i.e. same way as FDD.</w:t>
      </w:r>
    </w:p>
    <w:p w14:paraId="0379159C" w14:textId="77777777" w:rsidR="0054286D" w:rsidRPr="00A51F2A"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A51F2A">
        <w:rPr>
          <w:rFonts w:ascii="Times New Roman" w:hAnsi="Times New Roman"/>
          <w:bCs/>
          <w:sz w:val="20"/>
          <w:szCs w:val="20"/>
        </w:rPr>
        <w:t>Non-anchor carrier operation for system information (MIB-NB and any SIB-NB) can be considered.</w:t>
      </w:r>
    </w:p>
    <w:p w14:paraId="573EBC0A" w14:textId="77777777" w:rsidR="0054286D" w:rsidRPr="00A51F2A"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A51F2A">
        <w:rPr>
          <w:rFonts w:ascii="Times New Roman" w:hAnsi="Times New Roman"/>
          <w:bCs/>
          <w:sz w:val="20"/>
          <w:szCs w:val="20"/>
        </w:rPr>
        <w:t>Specify band specific requirements for band 41.</w:t>
      </w:r>
    </w:p>
    <w:p w14:paraId="1CC0B895" w14:textId="77777777" w:rsidR="0054286D" w:rsidRPr="004B19F7" w:rsidRDefault="0054286D" w:rsidP="0054286D">
      <w:pPr>
        <w:spacing w:after="0"/>
        <w:ind w:left="720"/>
        <w:rPr>
          <w:rFonts w:ascii="Times New Roman" w:hAnsi="Times New Roman"/>
          <w:bCs/>
          <w:sz w:val="20"/>
          <w:szCs w:val="20"/>
        </w:rPr>
      </w:pPr>
    </w:p>
    <w:p w14:paraId="2875E3A7" w14:textId="3F89B6C3" w:rsidR="0054286D" w:rsidRPr="004B19F7" w:rsidRDefault="001453CC" w:rsidP="00064B4B">
      <w:pPr>
        <w:spacing w:after="180"/>
        <w:ind w:right="-99"/>
        <w:jc w:val="both"/>
        <w:rPr>
          <w:rFonts w:ascii="Times New Roman" w:hAnsi="Times New Roman"/>
          <w:sz w:val="20"/>
          <w:szCs w:val="20"/>
        </w:rPr>
      </w:pPr>
      <w:r w:rsidRPr="004B19F7">
        <w:rPr>
          <w:rFonts w:ascii="Times New Roman" w:hAnsi="Times New Roman"/>
          <w:sz w:val="20"/>
          <w:szCs w:val="20"/>
        </w:rPr>
        <w:t xml:space="preserve">This contribution deals with common aspects for the support of TDD NB-IoT, </w:t>
      </w:r>
      <w:r w:rsidR="00042E87" w:rsidRPr="004B19F7">
        <w:rPr>
          <w:rFonts w:ascii="Times New Roman" w:hAnsi="Times New Roman"/>
          <w:sz w:val="20"/>
          <w:szCs w:val="20"/>
        </w:rPr>
        <w:t>continuing the discussions on the better suitability that some LTE TDD configurations the physical channels and signals use by NB-IoT, as well as the potential usage of UpPTS, and DwPTS in TDD NB-IoT, bitmaps</w:t>
      </w:r>
      <w:r w:rsidRPr="004B19F7">
        <w:rPr>
          <w:rFonts w:ascii="Times New Roman" w:hAnsi="Times New Roman"/>
          <w:sz w:val="20"/>
          <w:szCs w:val="20"/>
        </w:rPr>
        <w:t xml:space="preserve">, </w:t>
      </w:r>
      <w:r w:rsidR="00943F6C" w:rsidRPr="004B19F7">
        <w:rPr>
          <w:rFonts w:ascii="Times New Roman" w:hAnsi="Times New Roman"/>
          <w:sz w:val="20"/>
          <w:szCs w:val="20"/>
        </w:rPr>
        <w:t>and common aspects associated with HARQ and multi-carrier support. The document analyzing</w:t>
      </w:r>
      <w:r w:rsidR="0054286D" w:rsidRPr="004B19F7">
        <w:rPr>
          <w:rFonts w:ascii="Times New Roman" w:hAnsi="Times New Roman"/>
          <w:sz w:val="20"/>
          <w:szCs w:val="20"/>
        </w:rPr>
        <w:t xml:space="preserve"> downlink (DL) </w:t>
      </w:r>
      <w:r w:rsidR="00943F6C" w:rsidRPr="004B19F7">
        <w:rPr>
          <w:rFonts w:ascii="Times New Roman" w:hAnsi="Times New Roman"/>
          <w:sz w:val="20"/>
          <w:szCs w:val="20"/>
        </w:rPr>
        <w:t>and uplink (UL) aspects can be found in [</w:t>
      </w:r>
      <w:r w:rsidR="00810A1E" w:rsidRPr="004B19F7">
        <w:rPr>
          <w:rFonts w:ascii="Times New Roman" w:hAnsi="Times New Roman"/>
          <w:sz w:val="20"/>
          <w:szCs w:val="20"/>
        </w:rPr>
        <w:t>4</w:t>
      </w:r>
      <w:r w:rsidR="00943F6C" w:rsidRPr="004B19F7">
        <w:rPr>
          <w:rFonts w:ascii="Times New Roman" w:hAnsi="Times New Roman"/>
          <w:sz w:val="20"/>
          <w:szCs w:val="20"/>
        </w:rPr>
        <w:t>-</w:t>
      </w:r>
      <w:r w:rsidR="00810A1E" w:rsidRPr="004B19F7">
        <w:rPr>
          <w:rFonts w:ascii="Times New Roman" w:hAnsi="Times New Roman"/>
          <w:sz w:val="20"/>
          <w:szCs w:val="20"/>
        </w:rPr>
        <w:t>5</w:t>
      </w:r>
      <w:r w:rsidR="0054286D" w:rsidRPr="004B19F7">
        <w:rPr>
          <w:rFonts w:ascii="Times New Roman" w:hAnsi="Times New Roman"/>
          <w:sz w:val="20"/>
          <w:szCs w:val="20"/>
        </w:rPr>
        <w:t>].</w:t>
      </w:r>
    </w:p>
    <w:p w14:paraId="2E1386C1" w14:textId="77777777" w:rsidR="00BA0384" w:rsidRPr="001A0C59" w:rsidRDefault="00BA0384" w:rsidP="00BA0384">
      <w:pPr>
        <w:pStyle w:val="Heading1"/>
        <w:jc w:val="both"/>
      </w:pPr>
      <w:r w:rsidRPr="001A0C59">
        <w:t>Background</w:t>
      </w:r>
    </w:p>
    <w:p w14:paraId="5913C1EF" w14:textId="2452B1FA" w:rsidR="00042E87" w:rsidRPr="004B19F7" w:rsidRDefault="00042E87" w:rsidP="00042E87">
      <w:pPr>
        <w:jc w:val="both"/>
        <w:rPr>
          <w:rFonts w:ascii="Times New Roman" w:hAnsi="Times New Roman" w:cs="Times New Roman"/>
          <w:bCs/>
          <w:sz w:val="20"/>
          <w:szCs w:val="20"/>
        </w:rPr>
      </w:pPr>
      <w:r w:rsidRPr="004B19F7">
        <w:rPr>
          <w:rFonts w:ascii="Times New Roman" w:hAnsi="Times New Roman" w:cs="Times New Roman"/>
          <w:bCs/>
          <w:sz w:val="20"/>
          <w:szCs w:val="20"/>
        </w:rPr>
        <w:t>In RAN1 #90bis, the TSG RAN WG1 focused their discussions in downlink and uplink aspects for which several agreements were reached [</w:t>
      </w:r>
      <w:r w:rsidR="00F34AB6">
        <w:rPr>
          <w:rFonts w:ascii="Times New Roman" w:hAnsi="Times New Roman" w:cs="Times New Roman"/>
          <w:bCs/>
          <w:sz w:val="20"/>
          <w:szCs w:val="20"/>
        </w:rPr>
        <w:t>6</w:t>
      </w:r>
      <w:r w:rsidRPr="004B19F7">
        <w:rPr>
          <w:rFonts w:ascii="Times New Roman" w:hAnsi="Times New Roman" w:cs="Times New Roman"/>
          <w:bCs/>
          <w:sz w:val="20"/>
          <w:szCs w:val="20"/>
        </w:rPr>
        <w:t>].</w:t>
      </w:r>
    </w:p>
    <w:p w14:paraId="6603DBAB" w14:textId="77777777" w:rsidR="00042E87" w:rsidRPr="004B19F7" w:rsidRDefault="00042E87" w:rsidP="00042E87">
      <w:pPr>
        <w:jc w:val="both"/>
        <w:rPr>
          <w:rFonts w:ascii="Times New Roman" w:hAnsi="Times New Roman" w:cs="Times New Roman"/>
          <w:bCs/>
          <w:sz w:val="20"/>
          <w:szCs w:val="20"/>
        </w:rPr>
      </w:pPr>
      <w:r w:rsidRPr="004B19F7">
        <w:rPr>
          <w:rFonts w:ascii="Times New Roman" w:hAnsi="Times New Roman" w:cs="Times New Roman"/>
          <w:bCs/>
          <w:sz w:val="20"/>
          <w:szCs w:val="20"/>
        </w:rPr>
        <w:t>One of the topics treated in RAN1 #90bis, which touches upon common aspects of TDD NB-IoT, refers to the support only certain LTE TDD configurations. In relation to it, from the discussions held on downlink aspects the following agreements were reached:</w:t>
      </w:r>
    </w:p>
    <w:p w14:paraId="3D0F13E6" w14:textId="77777777" w:rsidR="00042E87" w:rsidRPr="005713EF" w:rsidRDefault="00042E87" w:rsidP="00042E87">
      <w:pPr>
        <w:rPr>
          <w:sz w:val="16"/>
          <w:szCs w:val="16"/>
          <w:highlight w:val="green"/>
        </w:rPr>
      </w:pPr>
      <w:r w:rsidRPr="005713EF">
        <w:rPr>
          <w:sz w:val="16"/>
          <w:szCs w:val="16"/>
          <w:highlight w:val="green"/>
        </w:rPr>
        <w:t xml:space="preserve">Agreements: </w:t>
      </w:r>
    </w:p>
    <w:p w14:paraId="067B4429" w14:textId="77777777" w:rsidR="00042E87" w:rsidRPr="004B19F7" w:rsidRDefault="00042E87" w:rsidP="00185920">
      <w:pPr>
        <w:numPr>
          <w:ilvl w:val="0"/>
          <w:numId w:val="17"/>
        </w:numPr>
        <w:spacing w:after="0" w:line="240" w:lineRule="auto"/>
        <w:rPr>
          <w:sz w:val="16"/>
          <w:szCs w:val="16"/>
        </w:rPr>
      </w:pPr>
      <w:r w:rsidRPr="004B19F7">
        <w:rPr>
          <w:sz w:val="16"/>
          <w:szCs w:val="16"/>
        </w:rPr>
        <w:lastRenderedPageBreak/>
        <w:t>TDD UL:DL configuration 0 is not supported in TDD NB-IoT in Rel-15</w:t>
      </w:r>
    </w:p>
    <w:p w14:paraId="41F2980F" w14:textId="77777777" w:rsidR="00042E87" w:rsidRPr="005713EF" w:rsidRDefault="00042E87" w:rsidP="00042E87">
      <w:pPr>
        <w:rPr>
          <w:sz w:val="16"/>
          <w:szCs w:val="16"/>
          <w:highlight w:val="darkYellow"/>
        </w:rPr>
      </w:pPr>
      <w:r w:rsidRPr="005713EF">
        <w:rPr>
          <w:sz w:val="16"/>
          <w:szCs w:val="16"/>
          <w:highlight w:val="darkYellow"/>
        </w:rPr>
        <w:t>Working assumption:</w:t>
      </w:r>
    </w:p>
    <w:p w14:paraId="12C05603" w14:textId="77777777" w:rsidR="00042E87" w:rsidRPr="004B19F7" w:rsidRDefault="00042E87" w:rsidP="00185920">
      <w:pPr>
        <w:numPr>
          <w:ilvl w:val="0"/>
          <w:numId w:val="17"/>
        </w:numPr>
        <w:spacing w:after="0" w:line="240" w:lineRule="auto"/>
        <w:rPr>
          <w:sz w:val="16"/>
          <w:szCs w:val="16"/>
        </w:rPr>
      </w:pPr>
      <w:r w:rsidRPr="004B19F7">
        <w:rPr>
          <w:sz w:val="16"/>
          <w:szCs w:val="16"/>
        </w:rPr>
        <w:t>TDD UL:DL configuration 6 is not supported in TDD NB-IoT in Rel-15</w:t>
      </w:r>
    </w:p>
    <w:p w14:paraId="77B06D67" w14:textId="77777777" w:rsidR="00042E87" w:rsidRPr="004B19F7" w:rsidRDefault="00042E87" w:rsidP="00042E87">
      <w:pPr>
        <w:jc w:val="both"/>
        <w:rPr>
          <w:rFonts w:ascii="Times New Roman" w:hAnsi="Times New Roman" w:cs="Times New Roman"/>
          <w:bCs/>
          <w:sz w:val="20"/>
          <w:szCs w:val="20"/>
        </w:rPr>
      </w:pPr>
    </w:p>
    <w:p w14:paraId="46621116" w14:textId="6D183384" w:rsidR="00042E87" w:rsidRPr="004B19F7" w:rsidRDefault="00042E87" w:rsidP="00042E87">
      <w:pPr>
        <w:jc w:val="both"/>
        <w:rPr>
          <w:rFonts w:ascii="Times New Roman" w:hAnsi="Times New Roman" w:cs="Times New Roman"/>
          <w:bCs/>
          <w:sz w:val="20"/>
          <w:szCs w:val="20"/>
        </w:rPr>
      </w:pPr>
      <w:r w:rsidRPr="004B19F7">
        <w:rPr>
          <w:rFonts w:ascii="Times New Roman" w:hAnsi="Times New Roman" w:cs="Times New Roman"/>
          <w:bCs/>
          <w:sz w:val="20"/>
          <w:szCs w:val="20"/>
        </w:rPr>
        <w:t xml:space="preserve">In this contribution, we continue the analysis on the TDD configurations that seem to be more suitable for supporting the signals and physical </w:t>
      </w:r>
      <w:r w:rsidR="005D5B33">
        <w:rPr>
          <w:rFonts w:ascii="Times New Roman" w:hAnsi="Times New Roman" w:cs="Times New Roman"/>
          <w:bCs/>
          <w:sz w:val="20"/>
          <w:szCs w:val="20"/>
        </w:rPr>
        <w:t xml:space="preserve">channels </w:t>
      </w:r>
      <w:r w:rsidRPr="004B19F7">
        <w:rPr>
          <w:rFonts w:ascii="Times New Roman" w:hAnsi="Times New Roman" w:cs="Times New Roman"/>
          <w:bCs/>
          <w:sz w:val="20"/>
          <w:szCs w:val="20"/>
        </w:rPr>
        <w:t>as they were designed for NB-IoT.</w:t>
      </w:r>
    </w:p>
    <w:p w14:paraId="3B365ED2" w14:textId="77777777" w:rsidR="00042E87" w:rsidRPr="004B19F7" w:rsidRDefault="00042E87" w:rsidP="00042E87">
      <w:pPr>
        <w:jc w:val="both"/>
        <w:rPr>
          <w:rFonts w:ascii="Times New Roman" w:hAnsi="Times New Roman" w:cs="Times New Roman"/>
          <w:bCs/>
          <w:sz w:val="20"/>
          <w:szCs w:val="20"/>
        </w:rPr>
      </w:pPr>
      <w:r w:rsidRPr="004B19F7">
        <w:rPr>
          <w:rFonts w:ascii="Times New Roman" w:hAnsi="Times New Roman" w:cs="Times New Roman"/>
          <w:bCs/>
          <w:sz w:val="20"/>
          <w:szCs w:val="20"/>
        </w:rPr>
        <w:t>Other topics that have been preliminary discussed in RAN1 without reaching any agreement yet, refer to the potential usage of the special subframes for TDD NB-IoT, as well as the potential need of defining bitmaps, which are topics also addressed in this contribution.</w:t>
      </w:r>
    </w:p>
    <w:p w14:paraId="519B1F5D" w14:textId="00C0D9A8" w:rsidR="00BA0384" w:rsidRPr="004B19F7" w:rsidRDefault="00042E87" w:rsidP="00B307A5">
      <w:pPr>
        <w:jc w:val="both"/>
        <w:rPr>
          <w:rFonts w:ascii="Times New Roman" w:hAnsi="Times New Roman" w:cs="Times New Roman"/>
          <w:bCs/>
          <w:sz w:val="20"/>
          <w:szCs w:val="20"/>
        </w:rPr>
      </w:pPr>
      <w:r w:rsidRPr="004B19F7">
        <w:rPr>
          <w:rFonts w:ascii="Times New Roman" w:hAnsi="Times New Roman" w:cs="Times New Roman"/>
          <w:bCs/>
          <w:sz w:val="20"/>
          <w:szCs w:val="20"/>
        </w:rPr>
        <w:t>Finally, HARQ and multicarrier aspects are discussed, for example on the possibility for a UE to be allowed to perform an UL transmission while there is still a DL reception still ongoing (A/N), and the ability to perform cross carrier scheduling</w:t>
      </w:r>
      <w:r w:rsidR="005D5B33">
        <w:rPr>
          <w:rFonts w:ascii="Times New Roman" w:hAnsi="Times New Roman" w:cs="Times New Roman"/>
          <w:bCs/>
          <w:sz w:val="20"/>
          <w:szCs w:val="20"/>
        </w:rPr>
        <w:t>,</w:t>
      </w:r>
      <w:r w:rsidRPr="004B19F7">
        <w:rPr>
          <w:rFonts w:ascii="Times New Roman" w:hAnsi="Times New Roman" w:cs="Times New Roman"/>
          <w:bCs/>
          <w:sz w:val="20"/>
          <w:szCs w:val="20"/>
        </w:rPr>
        <w:t xml:space="preserve"> respectively.</w:t>
      </w:r>
    </w:p>
    <w:p w14:paraId="470F24E7" w14:textId="77777777" w:rsidR="00BA0384" w:rsidRDefault="00BA0384" w:rsidP="00BA0384">
      <w:pPr>
        <w:pStyle w:val="Heading1"/>
        <w:jc w:val="both"/>
      </w:pPr>
      <w:r>
        <w:t xml:space="preserve">Common aspects on the </w:t>
      </w:r>
      <w:r w:rsidRPr="00310E0D">
        <w:t>TD</w:t>
      </w:r>
      <w:r>
        <w:t>D support into NB-IoT</w:t>
      </w:r>
    </w:p>
    <w:p w14:paraId="2B077DE6" w14:textId="5AB9E87D" w:rsidR="00BA0384" w:rsidRPr="004B19F7" w:rsidRDefault="00BA0384" w:rsidP="00BA0384">
      <w:pPr>
        <w:rPr>
          <w:rFonts w:ascii="Times New Roman" w:hAnsi="Times New Roman" w:cs="Times New Roman"/>
          <w:sz w:val="20"/>
        </w:rPr>
      </w:pPr>
      <w:r w:rsidRPr="004B19F7">
        <w:rPr>
          <w:rFonts w:ascii="Times New Roman" w:hAnsi="Times New Roman" w:cs="Times New Roman"/>
          <w:sz w:val="20"/>
        </w:rPr>
        <w:t>This section analyses first the LTE TDD configurations within the scope of NB-IoT</w:t>
      </w:r>
      <w:r w:rsidR="008B0BBC" w:rsidRPr="004B19F7">
        <w:rPr>
          <w:rFonts w:ascii="Times New Roman" w:hAnsi="Times New Roman" w:cs="Times New Roman"/>
          <w:sz w:val="20"/>
        </w:rPr>
        <w:t xml:space="preserve"> TDD</w:t>
      </w:r>
      <w:r w:rsidRPr="004B19F7">
        <w:rPr>
          <w:rFonts w:ascii="Times New Roman" w:hAnsi="Times New Roman" w:cs="Times New Roman"/>
          <w:sz w:val="20"/>
        </w:rPr>
        <w:t>. Then, other common aspects such as</w:t>
      </w:r>
      <w:r w:rsidR="008B0BBC" w:rsidRPr="004B19F7">
        <w:rPr>
          <w:rFonts w:ascii="Times New Roman" w:hAnsi="Times New Roman" w:cs="Times New Roman"/>
          <w:sz w:val="20"/>
        </w:rPr>
        <w:t xml:space="preserve"> the usage of the UpPTS, and DwPTS</w:t>
      </w:r>
      <w:r w:rsidRPr="004B19F7">
        <w:rPr>
          <w:rFonts w:ascii="Times New Roman" w:hAnsi="Times New Roman" w:cs="Times New Roman"/>
          <w:sz w:val="20"/>
        </w:rPr>
        <w:t xml:space="preserve">, </w:t>
      </w:r>
      <w:r w:rsidR="0014569D" w:rsidRPr="004B19F7">
        <w:rPr>
          <w:rFonts w:ascii="Times New Roman" w:hAnsi="Times New Roman" w:cs="Times New Roman"/>
          <w:sz w:val="20"/>
        </w:rPr>
        <w:t xml:space="preserve">bitmaps, </w:t>
      </w:r>
      <w:r w:rsidRPr="004B19F7">
        <w:rPr>
          <w:rFonts w:ascii="Times New Roman" w:hAnsi="Times New Roman" w:cs="Times New Roman"/>
          <w:sz w:val="20"/>
        </w:rPr>
        <w:t xml:space="preserve">HARQ aspects, and </w:t>
      </w:r>
      <w:r w:rsidR="00B738C2" w:rsidRPr="004B19F7">
        <w:rPr>
          <w:rFonts w:ascii="Times New Roman" w:hAnsi="Times New Roman" w:cs="Times New Roman"/>
          <w:sz w:val="20"/>
        </w:rPr>
        <w:t xml:space="preserve">the support of multi-carrier </w:t>
      </w:r>
      <w:r w:rsidRPr="004B19F7">
        <w:rPr>
          <w:rFonts w:ascii="Times New Roman" w:hAnsi="Times New Roman" w:cs="Times New Roman"/>
          <w:sz w:val="20"/>
        </w:rPr>
        <w:t>are addressed.</w:t>
      </w:r>
    </w:p>
    <w:p w14:paraId="59759B13" w14:textId="77777777" w:rsidR="00BA0384" w:rsidRDefault="00BA0384" w:rsidP="00BA0384">
      <w:pPr>
        <w:pStyle w:val="Heading2"/>
      </w:pPr>
      <w:r>
        <w:t xml:space="preserve">TDD configurations </w:t>
      </w:r>
    </w:p>
    <w:p w14:paraId="0FCAFC6D" w14:textId="77777777" w:rsidR="00BA0384" w:rsidRPr="00AD78AE" w:rsidRDefault="00BA0384" w:rsidP="00BA0384">
      <w:pPr>
        <w:pStyle w:val="Heading3"/>
      </w:pPr>
      <w:r>
        <w:t>UL &amp; DL in the TDD configurations</w:t>
      </w:r>
    </w:p>
    <w:p w14:paraId="794290E0" w14:textId="378A2E99" w:rsidR="00BA0384" w:rsidRPr="004B19F7" w:rsidRDefault="00BA0384" w:rsidP="00AB6BEF">
      <w:pPr>
        <w:jc w:val="both"/>
        <w:rPr>
          <w:rFonts w:ascii="Times New Roman" w:hAnsi="Times New Roman" w:cs="Times New Roman"/>
          <w:sz w:val="20"/>
        </w:rPr>
      </w:pPr>
      <w:r w:rsidRPr="004B19F7">
        <w:rPr>
          <w:rFonts w:ascii="Times New Roman" w:hAnsi="Times New Roman" w:cs="Times New Roman"/>
          <w:sz w:val="20"/>
        </w:rPr>
        <w:t xml:space="preserve">In a TDD operation, the </w:t>
      </w:r>
      <w:r w:rsidRPr="004B19F7">
        <w:rPr>
          <w:rFonts w:ascii="Times New Roman" w:hAnsi="Times New Roman" w:cs="Times New Roman"/>
          <w:bCs/>
          <w:iCs/>
          <w:sz w:val="20"/>
        </w:rPr>
        <w:t xml:space="preserve">downlink and uplink radio resources have been made to coexist within the same radio frame, </w:t>
      </w:r>
      <w:r w:rsidRPr="004B19F7">
        <w:rPr>
          <w:rFonts w:ascii="Times New Roman" w:hAnsi="Times New Roman" w:cs="Times New Roman"/>
          <w:bCs/>
          <w:sz w:val="20"/>
        </w:rPr>
        <w:t xml:space="preserve">being the switching between downlink and uplink performed during a guard period </w:t>
      </w:r>
      <w:r w:rsidR="00AB6BEF" w:rsidRPr="004B19F7">
        <w:rPr>
          <w:rFonts w:ascii="Times New Roman" w:hAnsi="Times New Roman" w:cs="Times New Roman"/>
          <w:bCs/>
          <w:sz w:val="20"/>
        </w:rPr>
        <w:t xml:space="preserve">(GP) </w:t>
      </w:r>
      <w:r w:rsidRPr="004B19F7">
        <w:rPr>
          <w:rFonts w:ascii="Times New Roman" w:hAnsi="Times New Roman" w:cs="Times New Roman"/>
          <w:bCs/>
          <w:sz w:val="20"/>
        </w:rPr>
        <w:t xml:space="preserve">contained within a </w:t>
      </w:r>
      <w:r w:rsidRPr="004B19F7">
        <w:rPr>
          <w:rFonts w:ascii="Times New Roman" w:hAnsi="Times New Roman" w:cs="Times New Roman"/>
          <w:bCs/>
          <w:iCs/>
          <w:sz w:val="20"/>
        </w:rPr>
        <w:t>special subframe [3].</w:t>
      </w:r>
      <w:r w:rsidRPr="004B19F7">
        <w:rPr>
          <w:rFonts w:ascii="Times New Roman" w:hAnsi="Times New Roman" w:cs="Times New Roman"/>
          <w:sz w:val="20"/>
        </w:rPr>
        <w:t xml:space="preserve"> Table 1 shows the existing LTE TDD configurations </w:t>
      </w:r>
      <w:r w:rsidRPr="004B19F7">
        <w:rPr>
          <w:rFonts w:ascii="Times New Roman" w:hAnsi="Times New Roman" w:cs="Times New Roman"/>
          <w:bCs/>
          <w:iCs/>
          <w:sz w:val="20"/>
        </w:rPr>
        <w:t>as described by the LTE standard [</w:t>
      </w:r>
      <w:r w:rsidR="00F34AB6">
        <w:rPr>
          <w:rFonts w:ascii="Times New Roman" w:hAnsi="Times New Roman" w:cs="Times New Roman"/>
          <w:bCs/>
          <w:iCs/>
          <w:sz w:val="20"/>
        </w:rPr>
        <w:t>7</w:t>
      </w:r>
      <w:r w:rsidRPr="004B19F7">
        <w:rPr>
          <w:rFonts w:ascii="Times New Roman" w:hAnsi="Times New Roman" w:cs="Times New Roman"/>
          <w:bCs/>
          <w:iCs/>
          <w:sz w:val="20"/>
        </w:rPr>
        <w:t>].</w:t>
      </w:r>
    </w:p>
    <w:p w14:paraId="0FB0D03D" w14:textId="20F66181" w:rsidR="00431095" w:rsidRPr="00AB6BEF" w:rsidRDefault="00431095" w:rsidP="00525A9F">
      <w:pPr>
        <w:pStyle w:val="Caption"/>
        <w:keepNext/>
        <w:jc w:val="center"/>
        <w:rPr>
          <w:b/>
        </w:rPr>
      </w:pPr>
      <w:bookmarkStart w:id="1" w:name="_Ref488749878"/>
      <w:r w:rsidRPr="00AB6BEF">
        <w:rPr>
          <w:b/>
        </w:rPr>
        <w:t xml:space="preserve">Table </w:t>
      </w:r>
      <w:r w:rsidRPr="00525A9F">
        <w:rPr>
          <w:b/>
        </w:rPr>
        <w:fldChar w:fldCharType="begin"/>
      </w:r>
      <w:r w:rsidRPr="00AB6BEF">
        <w:rPr>
          <w:b/>
        </w:rPr>
        <w:instrText xml:space="preserve"> SEQ Table \* ARABIC </w:instrText>
      </w:r>
      <w:r w:rsidRPr="00525A9F">
        <w:rPr>
          <w:b/>
        </w:rPr>
        <w:fldChar w:fldCharType="separate"/>
      </w:r>
      <w:r w:rsidR="00D46219">
        <w:rPr>
          <w:b/>
          <w:noProof/>
        </w:rPr>
        <w:t>1</w:t>
      </w:r>
      <w:r w:rsidRPr="00525A9F">
        <w:rPr>
          <w:b/>
        </w:rPr>
        <w:fldChar w:fldCharType="end"/>
      </w:r>
      <w:bookmarkEnd w:id="1"/>
      <w:r w:rsidRPr="00AB6BEF">
        <w:rPr>
          <w:b/>
        </w:rPr>
        <w:t xml:space="preserve"> Uplink-downlink TDD configurations</w:t>
      </w:r>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BA0384"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Pr="00AB6BEF" w:rsidRDefault="00BA0384" w:rsidP="00856D15">
            <w:pPr>
              <w:pStyle w:val="TAH"/>
              <w:rPr>
                <w:sz w:val="14"/>
                <w:szCs w:val="14"/>
              </w:rPr>
            </w:pPr>
            <w:r w:rsidRPr="00AB6BEF">
              <w:rPr>
                <w:sz w:val="14"/>
                <w:szCs w:val="14"/>
              </w:rPr>
              <w:t xml:space="preserve">Uplink-downlink </w:t>
            </w:r>
          </w:p>
          <w:p w14:paraId="42EE315C" w14:textId="77777777" w:rsidR="00BA0384" w:rsidRPr="00AB6BEF" w:rsidRDefault="00BA0384" w:rsidP="00856D15">
            <w:pPr>
              <w:pStyle w:val="TAH"/>
              <w:rPr>
                <w:sz w:val="14"/>
                <w:szCs w:val="14"/>
              </w:rPr>
            </w:pPr>
            <w:r w:rsidRPr="00AB6BEF">
              <w:rPr>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Pr="004B19F7" w:rsidRDefault="00BA0384" w:rsidP="00856D15">
            <w:pPr>
              <w:pStyle w:val="TAH"/>
              <w:rPr>
                <w:sz w:val="14"/>
                <w:szCs w:val="14"/>
              </w:rPr>
            </w:pPr>
            <w:r w:rsidRPr="004B19F7">
              <w:rPr>
                <w:sz w:val="14"/>
                <w:szCs w:val="14"/>
              </w:rPr>
              <w:t xml:space="preserve">Downlink-to-Uplink </w:t>
            </w:r>
          </w:p>
          <w:p w14:paraId="5B9DE93D" w14:textId="77777777" w:rsidR="00BA0384" w:rsidRPr="004B19F7" w:rsidRDefault="00BA0384" w:rsidP="00856D15">
            <w:pPr>
              <w:pStyle w:val="TAH"/>
              <w:rPr>
                <w:sz w:val="14"/>
                <w:szCs w:val="14"/>
              </w:rPr>
            </w:pPr>
            <w:r w:rsidRPr="004B19F7">
              <w:rPr>
                <w:sz w:val="14"/>
                <w:szCs w:val="14"/>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Pr="00AB6BEF" w:rsidRDefault="00BA0384" w:rsidP="00856D15">
            <w:pPr>
              <w:pStyle w:val="TAH"/>
              <w:rPr>
                <w:sz w:val="14"/>
                <w:szCs w:val="14"/>
              </w:rPr>
            </w:pPr>
            <w:r w:rsidRPr="00AB6BEF">
              <w:rPr>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Pr="00AB6BEF" w:rsidRDefault="00BA0384" w:rsidP="00856D15">
            <w:pPr>
              <w:pStyle w:val="TAH"/>
              <w:rPr>
                <w:sz w:val="14"/>
                <w:szCs w:val="14"/>
              </w:rPr>
            </w:pPr>
            <w:r w:rsidRPr="00AB6BEF">
              <w:rPr>
                <w:sz w:val="14"/>
                <w:szCs w:val="14"/>
              </w:rPr>
              <w:t>Number of subframes / frame</w:t>
            </w:r>
          </w:p>
        </w:tc>
      </w:tr>
      <w:tr w:rsidR="00BA0384"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Pr="00AB6BEF" w:rsidRDefault="00BA0384" w:rsidP="00856D15">
            <w:pPr>
              <w:spacing w:after="0"/>
              <w:rPr>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Pr="00AB6BEF" w:rsidRDefault="00BA0384" w:rsidP="00856D15">
            <w:pPr>
              <w:spacing w:after="0"/>
              <w:rPr>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Pr="00AB6BEF" w:rsidRDefault="00BA0384" w:rsidP="00856D15">
            <w:pPr>
              <w:pStyle w:val="TAH"/>
              <w:rPr>
                <w:sz w:val="14"/>
                <w:szCs w:val="14"/>
              </w:rPr>
            </w:pPr>
            <w:r w:rsidRPr="00AB6BEF">
              <w:rPr>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Pr="00AB6BEF" w:rsidRDefault="00BA0384" w:rsidP="00856D15">
            <w:pPr>
              <w:pStyle w:val="TAH"/>
              <w:rPr>
                <w:sz w:val="14"/>
                <w:szCs w:val="14"/>
              </w:rPr>
            </w:pPr>
            <w:r w:rsidRPr="00AB6BEF">
              <w:rPr>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Pr="00AB6BEF" w:rsidRDefault="00BA0384" w:rsidP="00856D15">
            <w:pPr>
              <w:pStyle w:val="TAH"/>
              <w:rPr>
                <w:sz w:val="14"/>
                <w:szCs w:val="14"/>
              </w:rPr>
            </w:pPr>
            <w:r w:rsidRPr="00AB6BEF">
              <w:rPr>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Pr="00AB6BEF" w:rsidRDefault="00BA0384" w:rsidP="00856D15">
            <w:pPr>
              <w:pStyle w:val="TAH"/>
              <w:rPr>
                <w:sz w:val="14"/>
                <w:szCs w:val="14"/>
              </w:rPr>
            </w:pPr>
            <w:r w:rsidRPr="00AB6BEF">
              <w:rPr>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Pr="00AB6BEF" w:rsidRDefault="00BA0384" w:rsidP="00856D15">
            <w:pPr>
              <w:pStyle w:val="TAH"/>
              <w:rPr>
                <w:sz w:val="14"/>
                <w:szCs w:val="14"/>
              </w:rPr>
            </w:pPr>
            <w:r w:rsidRPr="00AB6BEF">
              <w:rPr>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Pr="00AB6BEF" w:rsidRDefault="00BA0384" w:rsidP="00856D15">
            <w:pPr>
              <w:pStyle w:val="TAH"/>
              <w:rPr>
                <w:sz w:val="14"/>
                <w:szCs w:val="14"/>
              </w:rPr>
            </w:pPr>
            <w:r w:rsidRPr="00AB6BEF">
              <w:rPr>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Pr="00AB6BEF" w:rsidRDefault="00BA0384" w:rsidP="00856D15">
            <w:pPr>
              <w:pStyle w:val="TAH"/>
              <w:rPr>
                <w:sz w:val="14"/>
                <w:szCs w:val="14"/>
              </w:rPr>
            </w:pPr>
            <w:r w:rsidRPr="00AB6BEF">
              <w:rPr>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Pr="00AB6BEF" w:rsidRDefault="00BA0384" w:rsidP="00856D15">
            <w:pPr>
              <w:pStyle w:val="TAH"/>
              <w:rPr>
                <w:sz w:val="14"/>
                <w:szCs w:val="14"/>
              </w:rPr>
            </w:pPr>
            <w:r w:rsidRPr="00AB6BEF">
              <w:rPr>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Pr="00AB6BEF" w:rsidRDefault="00BA0384" w:rsidP="00856D15">
            <w:pPr>
              <w:pStyle w:val="TAH"/>
              <w:rPr>
                <w:sz w:val="14"/>
                <w:szCs w:val="14"/>
              </w:rPr>
            </w:pPr>
            <w:r w:rsidRPr="00AB6BEF">
              <w:rPr>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Pr="00AB6BEF" w:rsidRDefault="00BA0384" w:rsidP="00856D15">
            <w:pPr>
              <w:pStyle w:val="TAH"/>
              <w:rPr>
                <w:sz w:val="14"/>
                <w:szCs w:val="14"/>
              </w:rPr>
            </w:pPr>
            <w:r w:rsidRPr="00AB6BEF">
              <w:rPr>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Pr="00AB6BEF" w:rsidRDefault="00BA0384" w:rsidP="00856D15">
            <w:pPr>
              <w:pStyle w:val="TAH"/>
              <w:rPr>
                <w:sz w:val="14"/>
                <w:szCs w:val="14"/>
              </w:rPr>
            </w:pPr>
            <w:r w:rsidRPr="00AB6BEF">
              <w:rPr>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Pr="00AB6BEF" w:rsidRDefault="00BA0384" w:rsidP="00856D15">
            <w:pPr>
              <w:pStyle w:val="TAH"/>
              <w:rPr>
                <w:sz w:val="14"/>
                <w:szCs w:val="14"/>
              </w:rPr>
            </w:pPr>
            <w:r w:rsidRPr="00AB6BEF">
              <w:rPr>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Pr="00AB6BEF" w:rsidRDefault="00BA0384" w:rsidP="00856D15">
            <w:pPr>
              <w:pStyle w:val="TAH"/>
              <w:rPr>
                <w:sz w:val="14"/>
                <w:szCs w:val="14"/>
              </w:rPr>
            </w:pPr>
            <w:r w:rsidRPr="00AB6BEF">
              <w:rPr>
                <w:sz w:val="14"/>
                <w:szCs w:val="14"/>
              </w:rPr>
              <w:t>S</w:t>
            </w:r>
          </w:p>
        </w:tc>
      </w:tr>
      <w:tr w:rsidR="00BA0384"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Pr="00AB6BEF" w:rsidRDefault="00BA0384" w:rsidP="00856D15">
            <w:pPr>
              <w:pStyle w:val="TAC"/>
              <w:rPr>
                <w:sz w:val="14"/>
                <w:szCs w:val="14"/>
              </w:rPr>
            </w:pPr>
            <w:r w:rsidRPr="00AB6BEF">
              <w:rPr>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Pr="00AB6BEF" w:rsidRDefault="00BA0384" w:rsidP="00856D15">
            <w:pPr>
              <w:pStyle w:val="TAC"/>
              <w:rPr>
                <w:sz w:val="14"/>
                <w:szCs w:val="14"/>
              </w:rPr>
            </w:pPr>
            <w:r w:rsidRPr="00AB6BEF">
              <w:rPr>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Pr="00AB6BEF" w:rsidRDefault="00BA0384" w:rsidP="00856D15">
            <w:pPr>
              <w:pStyle w:val="TAC"/>
              <w:rPr>
                <w:sz w:val="14"/>
                <w:szCs w:val="14"/>
              </w:rPr>
            </w:pPr>
            <w:r w:rsidRPr="00AB6BEF">
              <w:rPr>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Pr="00AB6BEF" w:rsidRDefault="00BA0384" w:rsidP="00856D15">
            <w:pPr>
              <w:pStyle w:val="TAC"/>
              <w:rPr>
                <w:sz w:val="14"/>
                <w:szCs w:val="14"/>
              </w:rPr>
            </w:pPr>
            <w:r w:rsidRPr="00AB6BEF">
              <w:rPr>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Pr="00AB6BEF" w:rsidRDefault="00BA0384" w:rsidP="00856D15">
            <w:pPr>
              <w:pStyle w:val="TAC"/>
              <w:rPr>
                <w:sz w:val="14"/>
                <w:szCs w:val="14"/>
              </w:rPr>
            </w:pPr>
            <w:r w:rsidRPr="00AB6BEF">
              <w:rPr>
                <w:sz w:val="14"/>
                <w:szCs w:val="14"/>
              </w:rPr>
              <w:t>2</w:t>
            </w:r>
          </w:p>
        </w:tc>
      </w:tr>
      <w:tr w:rsidR="00BA0384"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Pr="00AB6BEF" w:rsidRDefault="00BA0384" w:rsidP="00856D15">
            <w:pPr>
              <w:pStyle w:val="TAC"/>
              <w:rPr>
                <w:sz w:val="14"/>
                <w:szCs w:val="14"/>
              </w:rPr>
            </w:pPr>
            <w:r w:rsidRPr="00AB6BEF">
              <w:rPr>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Pr="00AB6BEF" w:rsidRDefault="00BA0384" w:rsidP="00856D15">
            <w:pPr>
              <w:pStyle w:val="TAC"/>
              <w:rPr>
                <w:sz w:val="14"/>
                <w:szCs w:val="14"/>
              </w:rPr>
            </w:pPr>
            <w:r w:rsidRPr="00AB6BEF">
              <w:rPr>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Pr="00AB6BEF" w:rsidRDefault="00BA0384" w:rsidP="00856D15">
            <w:pPr>
              <w:pStyle w:val="TAC"/>
              <w:rPr>
                <w:sz w:val="14"/>
                <w:szCs w:val="14"/>
              </w:rPr>
            </w:pPr>
            <w:r w:rsidRPr="00AB6BEF">
              <w:rPr>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Pr="00AB6BEF" w:rsidRDefault="00BA0384" w:rsidP="00856D15">
            <w:pPr>
              <w:pStyle w:val="TAC"/>
              <w:rPr>
                <w:sz w:val="14"/>
                <w:szCs w:val="14"/>
              </w:rPr>
            </w:pPr>
            <w:r w:rsidRPr="00AB6BEF">
              <w:rPr>
                <w:sz w:val="14"/>
                <w:szCs w:val="14"/>
              </w:rPr>
              <w:t>2</w:t>
            </w:r>
          </w:p>
        </w:tc>
      </w:tr>
      <w:tr w:rsidR="00BA0384"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Pr="00AB6BEF" w:rsidRDefault="00BA0384" w:rsidP="00856D15">
            <w:pPr>
              <w:pStyle w:val="TAC"/>
              <w:rPr>
                <w:sz w:val="14"/>
                <w:szCs w:val="14"/>
              </w:rPr>
            </w:pPr>
            <w:r w:rsidRPr="00AB6BEF">
              <w:rPr>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Pr="00AB6BEF" w:rsidRDefault="00BA0384" w:rsidP="00856D15">
            <w:pPr>
              <w:pStyle w:val="TAC"/>
              <w:rPr>
                <w:sz w:val="14"/>
                <w:szCs w:val="14"/>
              </w:rPr>
            </w:pPr>
            <w:r w:rsidRPr="00AB6BEF">
              <w:rPr>
                <w:sz w:val="14"/>
                <w:szCs w:val="14"/>
              </w:rPr>
              <w:t>2</w:t>
            </w:r>
          </w:p>
        </w:tc>
      </w:tr>
      <w:tr w:rsidR="00BA0384"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Pr="00AB6BEF" w:rsidRDefault="00BA0384" w:rsidP="00856D15">
            <w:pPr>
              <w:pStyle w:val="TAC"/>
              <w:rPr>
                <w:sz w:val="14"/>
                <w:szCs w:val="14"/>
              </w:rPr>
            </w:pPr>
            <w:r w:rsidRPr="00AB6BEF">
              <w:rPr>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Pr="00AB6BEF" w:rsidRDefault="00BA0384" w:rsidP="00856D15">
            <w:pPr>
              <w:pStyle w:val="TAC"/>
              <w:rPr>
                <w:sz w:val="14"/>
                <w:szCs w:val="14"/>
              </w:rPr>
            </w:pPr>
            <w:r w:rsidRPr="00AB6BEF">
              <w:rPr>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Pr="00AB6BEF" w:rsidRDefault="00BA0384" w:rsidP="00856D15">
            <w:pPr>
              <w:pStyle w:val="TAC"/>
              <w:rPr>
                <w:sz w:val="14"/>
                <w:szCs w:val="14"/>
              </w:rPr>
            </w:pPr>
            <w:r w:rsidRPr="00AB6BEF">
              <w:rPr>
                <w:sz w:val="14"/>
                <w:szCs w:val="14"/>
              </w:rPr>
              <w:t>1</w:t>
            </w:r>
          </w:p>
        </w:tc>
      </w:tr>
      <w:tr w:rsidR="00BA0384"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Pr="00AB6BEF" w:rsidRDefault="00BA0384" w:rsidP="00856D15">
            <w:pPr>
              <w:pStyle w:val="TAC"/>
              <w:rPr>
                <w:sz w:val="14"/>
                <w:szCs w:val="14"/>
              </w:rPr>
            </w:pPr>
            <w:r w:rsidRPr="00AB6BEF">
              <w:rPr>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Pr="00AB6BEF" w:rsidRDefault="00BA0384" w:rsidP="00856D15">
            <w:pPr>
              <w:pStyle w:val="TAC"/>
              <w:rPr>
                <w:sz w:val="14"/>
                <w:szCs w:val="14"/>
              </w:rPr>
            </w:pPr>
            <w:r w:rsidRPr="00AB6BEF">
              <w:rPr>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Pr="00AB6BEF" w:rsidRDefault="00BA0384" w:rsidP="00856D15">
            <w:pPr>
              <w:pStyle w:val="TAC"/>
              <w:rPr>
                <w:sz w:val="14"/>
                <w:szCs w:val="14"/>
              </w:rPr>
            </w:pPr>
            <w:r w:rsidRPr="00AB6BEF">
              <w:rPr>
                <w:sz w:val="14"/>
                <w:szCs w:val="14"/>
              </w:rPr>
              <w:t>1</w:t>
            </w:r>
          </w:p>
        </w:tc>
      </w:tr>
      <w:tr w:rsidR="00BA0384"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Pr="00AB6BEF" w:rsidRDefault="00BA0384" w:rsidP="00856D15">
            <w:pPr>
              <w:pStyle w:val="TAC"/>
              <w:rPr>
                <w:sz w:val="14"/>
                <w:szCs w:val="14"/>
              </w:rPr>
            </w:pPr>
            <w:r w:rsidRPr="00AB6BEF">
              <w:rPr>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Pr="00AB6BEF" w:rsidRDefault="00BA0384" w:rsidP="00856D15">
            <w:pPr>
              <w:pStyle w:val="TAC"/>
              <w:rPr>
                <w:sz w:val="14"/>
                <w:szCs w:val="14"/>
              </w:rPr>
            </w:pPr>
            <w:r w:rsidRPr="00AB6BEF">
              <w:rPr>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Pr="00AB6BEF" w:rsidRDefault="00BA0384" w:rsidP="00856D15">
            <w:pPr>
              <w:pStyle w:val="TAC"/>
              <w:rPr>
                <w:sz w:val="14"/>
                <w:szCs w:val="14"/>
              </w:rPr>
            </w:pPr>
            <w:r w:rsidRPr="00AB6BEF">
              <w:rPr>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Pr="00AB6BEF" w:rsidRDefault="00BA0384" w:rsidP="00856D15">
            <w:pPr>
              <w:pStyle w:val="TAC"/>
              <w:rPr>
                <w:sz w:val="14"/>
                <w:szCs w:val="14"/>
              </w:rPr>
            </w:pPr>
            <w:r w:rsidRPr="00AB6BEF">
              <w:rPr>
                <w:sz w:val="14"/>
                <w:szCs w:val="14"/>
              </w:rPr>
              <w:t>1</w:t>
            </w:r>
          </w:p>
        </w:tc>
      </w:tr>
      <w:tr w:rsidR="00BA0384"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Pr="00AB6BEF" w:rsidRDefault="00BA0384" w:rsidP="00856D15">
            <w:pPr>
              <w:pStyle w:val="TAC"/>
              <w:rPr>
                <w:sz w:val="14"/>
                <w:szCs w:val="14"/>
              </w:rPr>
            </w:pPr>
            <w:r w:rsidRPr="00AB6BEF">
              <w:rPr>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Pr="00AB6BEF" w:rsidRDefault="00BA0384" w:rsidP="00856D15">
            <w:pPr>
              <w:pStyle w:val="TAC"/>
              <w:rPr>
                <w:sz w:val="14"/>
                <w:szCs w:val="14"/>
              </w:rPr>
            </w:pPr>
            <w:r w:rsidRPr="00AB6BEF">
              <w:rPr>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Pr="00AB6BEF" w:rsidRDefault="00BA0384" w:rsidP="00856D15">
            <w:pPr>
              <w:pStyle w:val="TAC"/>
              <w:rPr>
                <w:sz w:val="14"/>
                <w:szCs w:val="14"/>
              </w:rPr>
            </w:pPr>
            <w:r w:rsidRPr="00AB6BEF">
              <w:rPr>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Pr="00AB6BEF" w:rsidRDefault="00BA0384" w:rsidP="00856D15">
            <w:pPr>
              <w:pStyle w:val="TAC"/>
              <w:rPr>
                <w:sz w:val="14"/>
                <w:szCs w:val="14"/>
              </w:rPr>
            </w:pPr>
            <w:r w:rsidRPr="00AB6BEF">
              <w:rPr>
                <w:sz w:val="14"/>
                <w:szCs w:val="14"/>
              </w:rPr>
              <w:t>2</w:t>
            </w:r>
          </w:p>
        </w:tc>
      </w:tr>
    </w:tbl>
    <w:p w14:paraId="01CDA546" w14:textId="77777777" w:rsidR="00BA0384" w:rsidRDefault="00BA0384" w:rsidP="00BA0384"/>
    <w:p w14:paraId="494A32D7" w14:textId="77777777" w:rsidR="00BA0384" w:rsidRPr="004B19F7" w:rsidRDefault="00BA0384" w:rsidP="00BA0384">
      <w:pPr>
        <w:rPr>
          <w:bCs/>
          <w:iCs/>
        </w:rPr>
      </w:pPr>
      <w:r w:rsidRPr="004B19F7">
        <w:rPr>
          <w:b/>
          <w:bCs/>
          <w:iCs/>
        </w:rPr>
        <w:t>D: Downlink; U: Uplink; S: Special Subframe</w:t>
      </w:r>
    </w:p>
    <w:p w14:paraId="4A530653" w14:textId="4755013E" w:rsidR="00BA0384" w:rsidRPr="00727050" w:rsidRDefault="00BA0384" w:rsidP="0091578D">
      <w:pPr>
        <w:jc w:val="both"/>
        <w:rPr>
          <w:rFonts w:ascii="Times New Roman" w:hAnsi="Times New Roman" w:cs="Times New Roman"/>
          <w:sz w:val="20"/>
        </w:rPr>
      </w:pPr>
      <w:r w:rsidRPr="004B19F7">
        <w:rPr>
          <w:rFonts w:ascii="Times New Roman" w:hAnsi="Times New Roman" w:cs="Times New Roman"/>
          <w:bCs/>
          <w:iCs/>
          <w:sz w:val="20"/>
        </w:rPr>
        <w:t>The existing LTE TDD configurations count with a well-defined and commercially used framework. Therefore, in our view the existing LTE TDD configuration</w:t>
      </w:r>
      <w:r w:rsidR="005F1554" w:rsidRPr="004B19F7">
        <w:rPr>
          <w:rFonts w:ascii="Times New Roman" w:hAnsi="Times New Roman" w:cs="Times New Roman"/>
          <w:bCs/>
          <w:iCs/>
          <w:sz w:val="20"/>
        </w:rPr>
        <w:t>s</w:t>
      </w:r>
      <w:r w:rsidRPr="004B19F7">
        <w:rPr>
          <w:rFonts w:ascii="Times New Roman" w:hAnsi="Times New Roman" w:cs="Times New Roman"/>
          <w:bCs/>
          <w:iCs/>
          <w:sz w:val="20"/>
        </w:rPr>
        <w:t xml:space="preserve"> should</w:t>
      </w:r>
      <w:r w:rsidRPr="004B19F7">
        <w:rPr>
          <w:rFonts w:ascii="Times New Roman" w:hAnsi="Times New Roman" w:cs="Times New Roman"/>
          <w:sz w:val="20"/>
        </w:rPr>
        <w:t xml:space="preserve"> be used as a baseline for introducing the TDD support into NB-IoT.</w:t>
      </w:r>
      <w:r w:rsidR="00A51182" w:rsidRPr="004B19F7">
        <w:rPr>
          <w:rFonts w:ascii="Times New Roman" w:hAnsi="Times New Roman" w:cs="Times New Roman"/>
          <w:sz w:val="20"/>
        </w:rPr>
        <w:t xml:space="preserve"> This is especially important for “in-band” and “guard-band” deployments, but relevant as well for “stand-alone” operation </w:t>
      </w:r>
      <w:r w:rsidR="00A51182" w:rsidRPr="00727050">
        <w:rPr>
          <w:rFonts w:ascii="Times New Roman" w:hAnsi="Times New Roman" w:cs="Times New Roman"/>
          <w:sz w:val="20"/>
        </w:rPr>
        <w:t>mode if we consider that there might be two variants: 1.- In the same band and 2.- far away from the mobile broadband.</w:t>
      </w:r>
    </w:p>
    <w:p w14:paraId="044C5DEB" w14:textId="6E2BDDCC" w:rsidR="00431095" w:rsidRPr="00727050" w:rsidRDefault="00727050" w:rsidP="00727050">
      <w:pPr>
        <w:rPr>
          <w:rFonts w:ascii="Times New Roman" w:hAnsi="Times New Roman" w:cs="Times New Roman"/>
          <w:b/>
          <w:i/>
          <w:sz w:val="20"/>
        </w:rPr>
      </w:pPr>
      <w:bookmarkStart w:id="2" w:name="_Ref488751840"/>
      <w:bookmarkStart w:id="3" w:name="Proposal_1"/>
      <w:r>
        <w:rPr>
          <w:rFonts w:ascii="Times New Roman" w:hAnsi="Times New Roman" w:cs="Times New Roman"/>
          <w:b/>
          <w:i/>
          <w:sz w:val="20"/>
        </w:rPr>
        <w:t xml:space="preserve">Proposal 1: </w:t>
      </w:r>
      <w:r w:rsidR="00431095" w:rsidRPr="00727050">
        <w:rPr>
          <w:rFonts w:ascii="Times New Roman" w:hAnsi="Times New Roman" w:cs="Times New Roman"/>
          <w:b/>
          <w:i/>
          <w:sz w:val="20"/>
        </w:rPr>
        <w:t>Use the existing LTE TDD configurations for introducing the TDD support into NB-IoT</w:t>
      </w:r>
      <w:r w:rsidR="0091578D" w:rsidRPr="00727050">
        <w:rPr>
          <w:rFonts w:ascii="Times New Roman" w:hAnsi="Times New Roman" w:cs="Times New Roman"/>
          <w:b/>
          <w:i/>
          <w:sz w:val="20"/>
        </w:rPr>
        <w:t xml:space="preserve"> in all deployment modes (i.e., in-band, guard-band, and stand-alone)</w:t>
      </w:r>
      <w:r w:rsidR="00431095" w:rsidRPr="00727050">
        <w:rPr>
          <w:rFonts w:ascii="Times New Roman" w:hAnsi="Times New Roman" w:cs="Times New Roman"/>
          <w:b/>
          <w:i/>
          <w:sz w:val="20"/>
        </w:rPr>
        <w:t>.</w:t>
      </w:r>
      <w:bookmarkEnd w:id="2"/>
      <w:bookmarkEnd w:id="3"/>
      <w:r w:rsidR="00431095" w:rsidRPr="00727050">
        <w:rPr>
          <w:rFonts w:ascii="Times New Roman" w:hAnsi="Times New Roman" w:cs="Times New Roman"/>
          <w:b/>
          <w:i/>
          <w:sz w:val="20"/>
        </w:rPr>
        <w:t xml:space="preserve"> </w:t>
      </w:r>
    </w:p>
    <w:p w14:paraId="33B69F88" w14:textId="44A68695" w:rsidR="00FA14F3" w:rsidRPr="00727050" w:rsidRDefault="00BA0384" w:rsidP="00AF67BC">
      <w:pPr>
        <w:jc w:val="both"/>
        <w:rPr>
          <w:rFonts w:ascii="Times New Roman" w:hAnsi="Times New Roman" w:cs="Times New Roman"/>
          <w:sz w:val="20"/>
        </w:rPr>
      </w:pPr>
      <w:r w:rsidRPr="00727050">
        <w:rPr>
          <w:rFonts w:ascii="Times New Roman" w:hAnsi="Times New Roman" w:cs="Times New Roman"/>
          <w:sz w:val="20"/>
        </w:rPr>
        <w:t>In terms of resource utilization, one important aspect to be taken into consideration is that the physical channels and signals as they were designed for NB-IoT make a significant use of the allocated resources in the time domain, which makes that some TDD configurations result to be too limiting or restrictive for the support of TDD into NB-IoT. As can be seen from Table 1, this is the case o</w:t>
      </w:r>
      <w:r w:rsidR="008A7C9C" w:rsidRPr="00727050">
        <w:rPr>
          <w:rFonts w:ascii="Times New Roman" w:hAnsi="Times New Roman" w:cs="Times New Roman"/>
          <w:sz w:val="20"/>
        </w:rPr>
        <w:t xml:space="preserve">f the TDD configurations #0, </w:t>
      </w:r>
      <w:r w:rsidRPr="00727050">
        <w:rPr>
          <w:rFonts w:ascii="Times New Roman" w:hAnsi="Times New Roman" w:cs="Times New Roman"/>
          <w:sz w:val="20"/>
        </w:rPr>
        <w:t>#5</w:t>
      </w:r>
      <w:r w:rsidR="008A7C9C" w:rsidRPr="00727050">
        <w:rPr>
          <w:rFonts w:ascii="Times New Roman" w:hAnsi="Times New Roman" w:cs="Times New Roman"/>
          <w:sz w:val="20"/>
        </w:rPr>
        <w:t xml:space="preserve"> and #6</w:t>
      </w:r>
      <w:r w:rsidRPr="00727050">
        <w:rPr>
          <w:rFonts w:ascii="Times New Roman" w:hAnsi="Times New Roman" w:cs="Times New Roman"/>
          <w:sz w:val="20"/>
        </w:rPr>
        <w:t xml:space="preserve"> since </w:t>
      </w:r>
      <w:r w:rsidR="008C0FF6" w:rsidRPr="00727050">
        <w:rPr>
          <w:rFonts w:ascii="Times New Roman" w:hAnsi="Times New Roman" w:cs="Times New Roman"/>
          <w:sz w:val="20"/>
        </w:rPr>
        <w:t>in those configurations</w:t>
      </w:r>
      <w:r w:rsidR="005D50D8" w:rsidRPr="00727050">
        <w:rPr>
          <w:rFonts w:ascii="Times New Roman" w:hAnsi="Times New Roman" w:cs="Times New Roman"/>
          <w:sz w:val="20"/>
        </w:rPr>
        <w:t>,</w:t>
      </w:r>
      <w:r w:rsidR="008C0FF6" w:rsidRPr="00727050">
        <w:rPr>
          <w:rFonts w:ascii="Times New Roman" w:hAnsi="Times New Roman" w:cs="Times New Roman"/>
          <w:sz w:val="20"/>
        </w:rPr>
        <w:t xml:space="preserve"> there are only </w:t>
      </w:r>
      <w:r w:rsidR="009C1FB9" w:rsidRPr="00727050">
        <w:rPr>
          <w:rFonts w:ascii="Times New Roman" w:hAnsi="Times New Roman" w:cs="Times New Roman"/>
          <w:sz w:val="20"/>
        </w:rPr>
        <w:t xml:space="preserve">three and </w:t>
      </w:r>
      <w:r w:rsidR="008C0FF6" w:rsidRPr="00727050">
        <w:rPr>
          <w:rFonts w:ascii="Times New Roman" w:hAnsi="Times New Roman" w:cs="Times New Roman"/>
          <w:sz w:val="20"/>
        </w:rPr>
        <w:t>two</w:t>
      </w:r>
      <w:r w:rsidRPr="00727050">
        <w:rPr>
          <w:rFonts w:ascii="Times New Roman" w:hAnsi="Times New Roman" w:cs="Times New Roman"/>
          <w:sz w:val="20"/>
        </w:rPr>
        <w:t xml:space="preserve"> usable subframe</w:t>
      </w:r>
      <w:r w:rsidR="005D50D8" w:rsidRPr="00727050">
        <w:rPr>
          <w:rFonts w:ascii="Times New Roman" w:hAnsi="Times New Roman" w:cs="Times New Roman"/>
          <w:sz w:val="20"/>
        </w:rPr>
        <w:t>s</w:t>
      </w:r>
      <w:r w:rsidRPr="00727050">
        <w:rPr>
          <w:rFonts w:ascii="Times New Roman" w:hAnsi="Times New Roman" w:cs="Times New Roman"/>
          <w:sz w:val="20"/>
        </w:rPr>
        <w:t xml:space="preserve"> </w:t>
      </w:r>
      <w:r w:rsidR="008C0FF6" w:rsidRPr="00727050">
        <w:rPr>
          <w:rFonts w:ascii="Times New Roman" w:hAnsi="Times New Roman" w:cs="Times New Roman"/>
          <w:sz w:val="20"/>
        </w:rPr>
        <w:t>for D</w:t>
      </w:r>
      <w:r w:rsidRPr="00727050">
        <w:rPr>
          <w:rFonts w:ascii="Times New Roman" w:hAnsi="Times New Roman" w:cs="Times New Roman"/>
          <w:sz w:val="20"/>
        </w:rPr>
        <w:t xml:space="preserve">L and </w:t>
      </w:r>
      <w:r w:rsidR="008C0FF6" w:rsidRPr="00727050">
        <w:rPr>
          <w:rFonts w:ascii="Times New Roman" w:hAnsi="Times New Roman" w:cs="Times New Roman"/>
          <w:sz w:val="20"/>
        </w:rPr>
        <w:t>one for U</w:t>
      </w:r>
      <w:r w:rsidRPr="00727050">
        <w:rPr>
          <w:rFonts w:ascii="Times New Roman" w:hAnsi="Times New Roman" w:cs="Times New Roman"/>
          <w:sz w:val="20"/>
        </w:rPr>
        <w:t xml:space="preserve">L </w:t>
      </w:r>
      <w:r w:rsidR="005D50D8" w:rsidRPr="00727050">
        <w:rPr>
          <w:rFonts w:ascii="Times New Roman" w:hAnsi="Times New Roman" w:cs="Times New Roman"/>
          <w:sz w:val="20"/>
        </w:rPr>
        <w:t xml:space="preserve">(i.e., per radio frame) for performing </w:t>
      </w:r>
      <w:r w:rsidR="002D7C05" w:rsidRPr="00727050">
        <w:rPr>
          <w:rFonts w:ascii="Times New Roman" w:hAnsi="Times New Roman" w:cs="Times New Roman"/>
          <w:sz w:val="20"/>
        </w:rPr>
        <w:t>DL or U</w:t>
      </w:r>
      <w:r w:rsidRPr="00727050">
        <w:rPr>
          <w:rFonts w:ascii="Times New Roman" w:hAnsi="Times New Roman" w:cs="Times New Roman"/>
          <w:sz w:val="20"/>
        </w:rPr>
        <w:t>L transmission</w:t>
      </w:r>
      <w:r w:rsidR="005D50D8" w:rsidRPr="00727050">
        <w:rPr>
          <w:rFonts w:ascii="Times New Roman" w:hAnsi="Times New Roman" w:cs="Times New Roman"/>
          <w:sz w:val="20"/>
        </w:rPr>
        <w:t>s</w:t>
      </w:r>
      <w:r w:rsidRPr="00727050">
        <w:rPr>
          <w:rFonts w:ascii="Times New Roman" w:hAnsi="Times New Roman" w:cs="Times New Roman"/>
          <w:sz w:val="20"/>
        </w:rPr>
        <w:t xml:space="preserve"> respectively.</w:t>
      </w:r>
      <w:r w:rsidR="00525A9F" w:rsidRPr="00727050">
        <w:rPr>
          <w:rFonts w:ascii="Times New Roman" w:hAnsi="Times New Roman" w:cs="Times New Roman"/>
          <w:sz w:val="20"/>
        </w:rPr>
        <w:t xml:space="preserve"> </w:t>
      </w:r>
      <w:r w:rsidR="00FA14F3" w:rsidRPr="00727050">
        <w:rPr>
          <w:rFonts w:ascii="Times New Roman" w:hAnsi="Times New Roman" w:cs="Times New Roman"/>
          <w:sz w:val="20"/>
          <w:szCs w:val="20"/>
        </w:rPr>
        <w:t xml:space="preserve">In RAN1 #90bis, it was agreed that the “TDD UL:DL configuration 0 is not supported in TDD NB-IoT in </w:t>
      </w:r>
      <w:r w:rsidR="00FA14F3" w:rsidRPr="00727050">
        <w:rPr>
          <w:rFonts w:ascii="Times New Roman" w:hAnsi="Times New Roman" w:cs="Times New Roman"/>
          <w:sz w:val="20"/>
          <w:szCs w:val="20"/>
        </w:rPr>
        <w:lastRenderedPageBreak/>
        <w:t>Rel-15,” while the following statement “TDD UL:DL configuration 6 is not supported in TDD NB-IoT in Rel-15” remains as a Working assumption [</w:t>
      </w:r>
      <w:r w:rsidR="00F34AB6">
        <w:rPr>
          <w:rFonts w:ascii="Times New Roman" w:hAnsi="Times New Roman" w:cs="Times New Roman"/>
          <w:sz w:val="20"/>
          <w:szCs w:val="20"/>
        </w:rPr>
        <w:t>6</w:t>
      </w:r>
      <w:r w:rsidR="00FA14F3" w:rsidRPr="00727050">
        <w:rPr>
          <w:rFonts w:ascii="Times New Roman" w:hAnsi="Times New Roman" w:cs="Times New Roman"/>
          <w:sz w:val="20"/>
          <w:szCs w:val="20"/>
        </w:rPr>
        <w:t>].</w:t>
      </w:r>
    </w:p>
    <w:p w14:paraId="711D8C11" w14:textId="73210F0F" w:rsidR="00BC1B17" w:rsidRPr="00727050" w:rsidRDefault="00FA14F3" w:rsidP="00AF67BC">
      <w:pPr>
        <w:jc w:val="both"/>
        <w:rPr>
          <w:rFonts w:ascii="Times New Roman" w:hAnsi="Times New Roman" w:cs="Times New Roman"/>
          <w:sz w:val="20"/>
          <w:szCs w:val="20"/>
        </w:rPr>
      </w:pPr>
      <w:r w:rsidRPr="00727050">
        <w:rPr>
          <w:rFonts w:ascii="Times New Roman" w:hAnsi="Times New Roman" w:cs="Times New Roman"/>
          <w:sz w:val="20"/>
        </w:rPr>
        <w:t>F</w:t>
      </w:r>
      <w:r w:rsidR="00596185" w:rsidRPr="00727050">
        <w:rPr>
          <w:rFonts w:ascii="Times New Roman" w:hAnsi="Times New Roman" w:cs="Times New Roman"/>
          <w:sz w:val="20"/>
        </w:rPr>
        <w:t xml:space="preserve">or </w:t>
      </w:r>
      <w:r w:rsidRPr="00727050">
        <w:rPr>
          <w:rFonts w:ascii="Times New Roman" w:hAnsi="Times New Roman" w:cs="Times New Roman"/>
          <w:sz w:val="20"/>
        </w:rPr>
        <w:t xml:space="preserve">the TDD </w:t>
      </w:r>
      <w:r w:rsidR="00596185" w:rsidRPr="00727050">
        <w:rPr>
          <w:rFonts w:ascii="Times New Roman" w:hAnsi="Times New Roman" w:cs="Times New Roman"/>
          <w:sz w:val="20"/>
        </w:rPr>
        <w:t>configuration</w:t>
      </w:r>
      <w:r w:rsidR="000D636E" w:rsidRPr="00727050">
        <w:rPr>
          <w:rFonts w:ascii="Times New Roman" w:hAnsi="Times New Roman" w:cs="Times New Roman"/>
          <w:sz w:val="20"/>
        </w:rPr>
        <w:t xml:space="preserve"> #6</w:t>
      </w:r>
      <w:r w:rsidR="00525A9F" w:rsidRPr="00727050">
        <w:rPr>
          <w:rFonts w:ascii="Times New Roman" w:hAnsi="Times New Roman" w:cs="Times New Roman"/>
          <w:sz w:val="20"/>
        </w:rPr>
        <w:t xml:space="preserve"> there are only </w:t>
      </w:r>
      <w:r w:rsidR="000D636E" w:rsidRPr="00727050">
        <w:rPr>
          <w:rFonts w:ascii="Times New Roman" w:hAnsi="Times New Roman" w:cs="Times New Roman"/>
          <w:sz w:val="20"/>
        </w:rPr>
        <w:t xml:space="preserve">three </w:t>
      </w:r>
      <w:r w:rsidR="00525A9F" w:rsidRPr="00727050">
        <w:rPr>
          <w:rFonts w:ascii="Times New Roman" w:hAnsi="Times New Roman" w:cs="Times New Roman"/>
          <w:sz w:val="20"/>
        </w:rPr>
        <w:t xml:space="preserve">DL subframes per radio frame, </w:t>
      </w:r>
      <w:r w:rsidR="00596185" w:rsidRPr="00727050">
        <w:rPr>
          <w:rFonts w:ascii="Times New Roman" w:hAnsi="Times New Roman" w:cs="Times New Roman"/>
          <w:sz w:val="20"/>
        </w:rPr>
        <w:t>meaning that the</w:t>
      </w:r>
      <w:r w:rsidR="00525A9F" w:rsidRPr="00727050">
        <w:rPr>
          <w:rFonts w:ascii="Times New Roman" w:hAnsi="Times New Roman" w:cs="Times New Roman"/>
          <w:sz w:val="20"/>
        </w:rPr>
        <w:t xml:space="preserve"> resources </w:t>
      </w:r>
      <w:r w:rsidR="00374871" w:rsidRPr="00727050">
        <w:rPr>
          <w:rFonts w:ascii="Times New Roman" w:hAnsi="Times New Roman" w:cs="Times New Roman"/>
          <w:sz w:val="20"/>
        </w:rPr>
        <w:t xml:space="preserve">are </w:t>
      </w:r>
      <w:r w:rsidR="00596185" w:rsidRPr="00727050">
        <w:rPr>
          <w:rFonts w:ascii="Times New Roman" w:hAnsi="Times New Roman" w:cs="Times New Roman"/>
          <w:sz w:val="20"/>
        </w:rPr>
        <w:t xml:space="preserve">hardly sufficient </w:t>
      </w:r>
      <w:r w:rsidR="00525A9F" w:rsidRPr="00727050">
        <w:rPr>
          <w:rFonts w:ascii="Times New Roman" w:hAnsi="Times New Roman" w:cs="Times New Roman"/>
          <w:sz w:val="20"/>
        </w:rPr>
        <w:t xml:space="preserve">for </w:t>
      </w:r>
      <w:r w:rsidR="00374871" w:rsidRPr="00727050">
        <w:rPr>
          <w:rFonts w:ascii="Times New Roman" w:hAnsi="Times New Roman" w:cs="Times New Roman"/>
          <w:sz w:val="20"/>
        </w:rPr>
        <w:t xml:space="preserve">carrying </w:t>
      </w:r>
      <w:r w:rsidR="00525A9F" w:rsidRPr="00727050">
        <w:rPr>
          <w:rFonts w:ascii="Times New Roman" w:hAnsi="Times New Roman" w:cs="Times New Roman"/>
          <w:sz w:val="20"/>
        </w:rPr>
        <w:t xml:space="preserve">NPSS, NSSS, and NPBCH </w:t>
      </w:r>
      <w:r w:rsidR="00374871" w:rsidRPr="00727050">
        <w:rPr>
          <w:rFonts w:ascii="Times New Roman" w:hAnsi="Times New Roman" w:cs="Times New Roman"/>
          <w:sz w:val="20"/>
        </w:rPr>
        <w:t xml:space="preserve">with </w:t>
      </w:r>
      <w:r w:rsidR="00525A9F" w:rsidRPr="00727050">
        <w:rPr>
          <w:rFonts w:ascii="Times New Roman" w:hAnsi="Times New Roman" w:cs="Times New Roman"/>
          <w:sz w:val="20"/>
        </w:rPr>
        <w:t xml:space="preserve">no </w:t>
      </w:r>
      <w:r w:rsidR="00374871" w:rsidRPr="00727050">
        <w:rPr>
          <w:rFonts w:ascii="Times New Roman" w:hAnsi="Times New Roman" w:cs="Times New Roman"/>
          <w:sz w:val="20"/>
        </w:rPr>
        <w:t>room</w:t>
      </w:r>
      <w:r w:rsidR="00890D9D" w:rsidRPr="00727050">
        <w:rPr>
          <w:rFonts w:ascii="Times New Roman" w:hAnsi="Times New Roman" w:cs="Times New Roman"/>
          <w:sz w:val="20"/>
        </w:rPr>
        <w:t xml:space="preserve"> or almost no room</w:t>
      </w:r>
      <w:r w:rsidR="00374871" w:rsidRPr="00727050">
        <w:rPr>
          <w:rFonts w:ascii="Times New Roman" w:hAnsi="Times New Roman" w:cs="Times New Roman"/>
          <w:sz w:val="20"/>
        </w:rPr>
        <w:t xml:space="preserve"> for </w:t>
      </w:r>
      <w:r w:rsidR="00525A9F" w:rsidRPr="00727050">
        <w:rPr>
          <w:rFonts w:ascii="Times New Roman" w:hAnsi="Times New Roman" w:cs="Times New Roman"/>
          <w:sz w:val="20"/>
        </w:rPr>
        <w:t>other channels, if only one DL carrier is configured.</w:t>
      </w:r>
      <w:r w:rsidR="00AF67BC" w:rsidRPr="00727050">
        <w:rPr>
          <w:rFonts w:ascii="Times New Roman" w:hAnsi="Times New Roman" w:cs="Times New Roman"/>
          <w:sz w:val="18"/>
        </w:rPr>
        <w:t xml:space="preserve"> </w:t>
      </w:r>
      <w:r w:rsidR="00890D9D" w:rsidRPr="00727050">
        <w:rPr>
          <w:rFonts w:ascii="Times New Roman" w:hAnsi="Times New Roman" w:cs="Times New Roman"/>
          <w:sz w:val="20"/>
          <w:szCs w:val="20"/>
        </w:rPr>
        <w:t>Thus, if</w:t>
      </w:r>
      <w:r w:rsidR="00CF4865" w:rsidRPr="00727050">
        <w:rPr>
          <w:rFonts w:ascii="Times New Roman" w:hAnsi="Times New Roman" w:cs="Times New Roman"/>
          <w:sz w:val="20"/>
          <w:szCs w:val="20"/>
        </w:rPr>
        <w:t xml:space="preserve"> the Working assumption is not confirmed, meaning that TDD configuration #6 will </w:t>
      </w:r>
      <w:r w:rsidR="00890D9D" w:rsidRPr="00727050">
        <w:rPr>
          <w:rFonts w:ascii="Times New Roman" w:hAnsi="Times New Roman" w:cs="Times New Roman"/>
          <w:sz w:val="20"/>
          <w:szCs w:val="20"/>
        </w:rPr>
        <w:t xml:space="preserve">indeed </w:t>
      </w:r>
      <w:r w:rsidR="00CF4865" w:rsidRPr="00727050">
        <w:rPr>
          <w:rFonts w:ascii="Times New Roman" w:hAnsi="Times New Roman" w:cs="Times New Roman"/>
          <w:sz w:val="20"/>
          <w:szCs w:val="20"/>
        </w:rPr>
        <w:t xml:space="preserve">be supported for TDD NB-IoT, one of the consequences/implications is that SIB1-NB might need to be transmitted in a non-anchor carrier. </w:t>
      </w:r>
      <w:r w:rsidR="00BC1B17" w:rsidRPr="00727050">
        <w:rPr>
          <w:rFonts w:ascii="Times New Roman" w:hAnsi="Times New Roman" w:cs="Times New Roman"/>
          <w:sz w:val="20"/>
          <w:szCs w:val="20"/>
        </w:rPr>
        <w:t xml:space="preserve">In RAN1#90bis, the substantial number of UL subframes in TDD configuration #6 was highlighted, which </w:t>
      </w:r>
      <w:r w:rsidR="00896B4F" w:rsidRPr="00727050">
        <w:rPr>
          <w:rFonts w:ascii="Times New Roman" w:hAnsi="Times New Roman" w:cs="Times New Roman"/>
          <w:sz w:val="20"/>
          <w:szCs w:val="20"/>
        </w:rPr>
        <w:t xml:space="preserve">was </w:t>
      </w:r>
      <w:r w:rsidR="00BC1B17" w:rsidRPr="00727050">
        <w:rPr>
          <w:rFonts w:ascii="Times New Roman" w:hAnsi="Times New Roman" w:cs="Times New Roman"/>
          <w:sz w:val="20"/>
          <w:szCs w:val="20"/>
        </w:rPr>
        <w:t>mentioned to be beneficial for IoT systems that are UL heavy. However, the UL traffic needs to be supported by DL scheduling</w:t>
      </w:r>
      <w:r w:rsidR="00896B4F" w:rsidRPr="00727050">
        <w:rPr>
          <w:rFonts w:ascii="Times New Roman" w:hAnsi="Times New Roman" w:cs="Times New Roman"/>
          <w:sz w:val="20"/>
          <w:szCs w:val="20"/>
        </w:rPr>
        <w:t xml:space="preserve"> (even with semi-persistent scheduling (SPS))</w:t>
      </w:r>
      <w:r w:rsidR="00BC1B17" w:rsidRPr="00727050">
        <w:rPr>
          <w:rFonts w:ascii="Times New Roman" w:hAnsi="Times New Roman" w:cs="Times New Roman"/>
          <w:sz w:val="20"/>
          <w:szCs w:val="20"/>
        </w:rPr>
        <w:t>, an</w:t>
      </w:r>
      <w:r w:rsidR="00896B4F" w:rsidRPr="00727050">
        <w:rPr>
          <w:rFonts w:ascii="Times New Roman" w:hAnsi="Times New Roman" w:cs="Times New Roman"/>
          <w:sz w:val="20"/>
          <w:szCs w:val="20"/>
        </w:rPr>
        <w:t>d</w:t>
      </w:r>
      <w:r w:rsidR="00BC1B17" w:rsidRPr="00727050">
        <w:rPr>
          <w:rFonts w:ascii="Times New Roman" w:hAnsi="Times New Roman" w:cs="Times New Roman"/>
          <w:sz w:val="20"/>
          <w:szCs w:val="20"/>
        </w:rPr>
        <w:t xml:space="preserve"> as </w:t>
      </w:r>
      <w:r w:rsidR="00896B4F" w:rsidRPr="00727050">
        <w:rPr>
          <w:rFonts w:ascii="Times New Roman" w:hAnsi="Times New Roman" w:cs="Times New Roman"/>
          <w:sz w:val="20"/>
          <w:szCs w:val="20"/>
        </w:rPr>
        <w:t xml:space="preserve">shown </w:t>
      </w:r>
      <w:r w:rsidR="005527BD" w:rsidRPr="00727050">
        <w:rPr>
          <w:rFonts w:ascii="Times New Roman" w:hAnsi="Times New Roman" w:cs="Times New Roman"/>
          <w:sz w:val="20"/>
          <w:szCs w:val="20"/>
        </w:rPr>
        <w:t>below for</w:t>
      </w:r>
      <w:r w:rsidR="00BC1B17" w:rsidRPr="00727050">
        <w:rPr>
          <w:rFonts w:ascii="Times New Roman" w:hAnsi="Times New Roman" w:cs="Times New Roman"/>
          <w:sz w:val="20"/>
          <w:szCs w:val="20"/>
        </w:rPr>
        <w:t xml:space="preserve"> TDD configuration #6</w:t>
      </w:r>
      <w:r w:rsidR="00896B4F" w:rsidRPr="00727050">
        <w:rPr>
          <w:rFonts w:ascii="Times New Roman" w:hAnsi="Times New Roman" w:cs="Times New Roman"/>
          <w:sz w:val="20"/>
          <w:szCs w:val="20"/>
        </w:rPr>
        <w:t xml:space="preserve"> (at the bottom) there are no DL subframes left to be used for NPDCCH or NPDSCH.</w:t>
      </w:r>
    </w:p>
    <w:p w14:paraId="43EF4F85" w14:textId="3179ED9F" w:rsidR="00BC1B17" w:rsidRDefault="00896B4F" w:rsidP="00AF67BC">
      <w:pPr>
        <w:jc w:val="both"/>
        <w:rPr>
          <w:sz w:val="20"/>
          <w:szCs w:val="20"/>
        </w:rPr>
      </w:pPr>
      <w:r>
        <w:rPr>
          <w:noProof/>
          <w:sz w:val="20"/>
          <w:szCs w:val="20"/>
        </w:rPr>
        <w:drawing>
          <wp:inline distT="0" distB="0" distL="0" distR="0" wp14:anchorId="51A83F66" wp14:editId="694259BF">
            <wp:extent cx="6115050" cy="531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5314950"/>
                    </a:xfrm>
                    <a:prstGeom prst="rect">
                      <a:avLst/>
                    </a:prstGeom>
                    <a:noFill/>
                    <a:ln>
                      <a:noFill/>
                    </a:ln>
                  </pic:spPr>
                </pic:pic>
              </a:graphicData>
            </a:graphic>
          </wp:inline>
        </w:drawing>
      </w:r>
    </w:p>
    <w:p w14:paraId="0F9C4512" w14:textId="2AACBC51" w:rsidR="005527BD" w:rsidRDefault="005527BD" w:rsidP="005527BD">
      <w:pPr>
        <w:jc w:val="center"/>
        <w:rPr>
          <w:sz w:val="20"/>
          <w:szCs w:val="20"/>
        </w:rPr>
      </w:pPr>
      <w:r w:rsidRPr="004B19F7">
        <w:rPr>
          <w:b/>
        </w:rPr>
        <w:t xml:space="preserve">Figure </w:t>
      </w:r>
      <w:r w:rsidR="002A2D3D">
        <w:rPr>
          <w:b/>
        </w:rPr>
        <w:t>1</w:t>
      </w:r>
      <w:r w:rsidRPr="004B19F7">
        <w:rPr>
          <w:b/>
        </w:rPr>
        <w:t xml:space="preserve"> </w:t>
      </w:r>
      <w:r>
        <w:rPr>
          <w:b/>
        </w:rPr>
        <w:t>Resource mapping for the TDD configurations</w:t>
      </w:r>
      <w:r w:rsidRPr="005527BD">
        <w:rPr>
          <w:b/>
        </w:rPr>
        <w:t xml:space="preserve"> on the anchor carrier</w:t>
      </w:r>
      <w:r>
        <w:t xml:space="preserve"> </w:t>
      </w:r>
      <w:r w:rsidRPr="005527BD">
        <w:rPr>
          <w:b/>
        </w:rPr>
        <w:t>based on the agreements that have been reached until RAN1 #90bis</w:t>
      </w:r>
      <w:r>
        <w:rPr>
          <w:b/>
        </w:rPr>
        <w:t xml:space="preserve"> </w:t>
      </w:r>
    </w:p>
    <w:p w14:paraId="16FD3BDF" w14:textId="45740979" w:rsidR="00AF67BC" w:rsidRPr="00727050" w:rsidRDefault="00DE4B90" w:rsidP="00AF67BC">
      <w:pPr>
        <w:jc w:val="both"/>
        <w:rPr>
          <w:rFonts w:ascii="Times New Roman" w:hAnsi="Times New Roman" w:cs="Times New Roman"/>
          <w:sz w:val="18"/>
        </w:rPr>
      </w:pPr>
      <w:r w:rsidRPr="00727050">
        <w:rPr>
          <w:rFonts w:ascii="Times New Roman" w:hAnsi="Times New Roman" w:cs="Times New Roman"/>
          <w:sz w:val="20"/>
          <w:szCs w:val="20"/>
        </w:rPr>
        <w:t>Moreover, i</w:t>
      </w:r>
      <w:r w:rsidR="00CF4865" w:rsidRPr="00727050">
        <w:rPr>
          <w:rFonts w:ascii="Times New Roman" w:hAnsi="Times New Roman" w:cs="Times New Roman"/>
          <w:sz w:val="20"/>
          <w:szCs w:val="20"/>
        </w:rPr>
        <w:t>n ter</w:t>
      </w:r>
      <w:r w:rsidRPr="00727050">
        <w:rPr>
          <w:rFonts w:ascii="Times New Roman" w:hAnsi="Times New Roman" w:cs="Times New Roman"/>
          <w:sz w:val="20"/>
          <w:szCs w:val="20"/>
        </w:rPr>
        <w:t>ms of uplink</w:t>
      </w:r>
      <w:r w:rsidR="00CF4865" w:rsidRPr="00727050">
        <w:rPr>
          <w:rFonts w:ascii="Times New Roman" w:hAnsi="Times New Roman" w:cs="Times New Roman"/>
          <w:sz w:val="20"/>
          <w:szCs w:val="20"/>
        </w:rPr>
        <w:t xml:space="preserve"> the TDD configuration </w:t>
      </w:r>
      <w:r w:rsidR="007549A3" w:rsidRPr="00727050">
        <w:rPr>
          <w:rFonts w:ascii="Times New Roman" w:hAnsi="Times New Roman" w:cs="Times New Roman"/>
          <w:sz w:val="20"/>
          <w:szCs w:val="20"/>
        </w:rPr>
        <w:t>#6</w:t>
      </w:r>
      <w:r w:rsidR="00890D9D" w:rsidRPr="00727050">
        <w:rPr>
          <w:rFonts w:ascii="Times New Roman" w:hAnsi="Times New Roman" w:cs="Times New Roman"/>
          <w:sz w:val="20"/>
          <w:szCs w:val="20"/>
        </w:rPr>
        <w:t xml:space="preserve"> also </w:t>
      </w:r>
      <w:r w:rsidRPr="00727050">
        <w:rPr>
          <w:rFonts w:ascii="Times New Roman" w:hAnsi="Times New Roman" w:cs="Times New Roman"/>
          <w:sz w:val="20"/>
          <w:szCs w:val="20"/>
        </w:rPr>
        <w:t>imposes</w:t>
      </w:r>
      <w:r w:rsidR="00890D9D" w:rsidRPr="00727050">
        <w:rPr>
          <w:rFonts w:ascii="Times New Roman" w:hAnsi="Times New Roman" w:cs="Times New Roman"/>
          <w:sz w:val="20"/>
          <w:szCs w:val="20"/>
        </w:rPr>
        <w:t xml:space="preserve"> some complication</w:t>
      </w:r>
      <w:r w:rsidR="00232D90" w:rsidRPr="00727050">
        <w:rPr>
          <w:rFonts w:ascii="Times New Roman" w:hAnsi="Times New Roman" w:cs="Times New Roman"/>
          <w:sz w:val="20"/>
          <w:szCs w:val="20"/>
        </w:rPr>
        <w:t>s</w:t>
      </w:r>
      <w:r w:rsidRPr="00727050">
        <w:rPr>
          <w:rFonts w:ascii="Times New Roman" w:hAnsi="Times New Roman" w:cs="Times New Roman"/>
          <w:sz w:val="20"/>
          <w:szCs w:val="20"/>
        </w:rPr>
        <w:t xml:space="preserve"> because it counts with an asymmetrical number of UL subframes in each half of a radio frame, which may for NPRACH require either using two different NPRACH formats within </w:t>
      </w:r>
      <w:r w:rsidR="00232D90" w:rsidRPr="00727050">
        <w:rPr>
          <w:rFonts w:ascii="Times New Roman" w:hAnsi="Times New Roman" w:cs="Times New Roman"/>
          <w:sz w:val="20"/>
          <w:szCs w:val="20"/>
        </w:rPr>
        <w:t xml:space="preserve">a </w:t>
      </w:r>
      <w:r w:rsidRPr="00727050">
        <w:rPr>
          <w:rFonts w:ascii="Times New Roman" w:hAnsi="Times New Roman" w:cs="Times New Roman"/>
          <w:sz w:val="20"/>
          <w:szCs w:val="20"/>
        </w:rPr>
        <w:t>radio frame, or in some cases adding rules for using one NPRACH format at a time within a radio. Based on the difficulties that the TDD configuration #6 implies for both, UL and DL, it seems to be better to confirm the working assumption saying “TDD UL:DL configuration 6 is not supported in TDD NB-IoT in Rel-15”.</w:t>
      </w:r>
    </w:p>
    <w:p w14:paraId="6605602D" w14:textId="5BA074B8" w:rsidR="00AF67BC" w:rsidRPr="00727050" w:rsidRDefault="00727050" w:rsidP="00727050">
      <w:pPr>
        <w:rPr>
          <w:rFonts w:ascii="Times New Roman" w:hAnsi="Times New Roman" w:cs="Times New Roman"/>
          <w:b/>
          <w:i/>
          <w:sz w:val="20"/>
        </w:rPr>
      </w:pPr>
      <w:bookmarkStart w:id="4" w:name="Proposal_2"/>
      <w:r w:rsidRPr="00727050">
        <w:rPr>
          <w:rFonts w:ascii="Times New Roman" w:hAnsi="Times New Roman" w:cs="Times New Roman"/>
          <w:b/>
          <w:bCs/>
          <w:i/>
          <w:sz w:val="20"/>
        </w:rPr>
        <w:t xml:space="preserve">Proposal 2: </w:t>
      </w:r>
      <w:r w:rsidR="00A81AB1" w:rsidRPr="00727050">
        <w:rPr>
          <w:rFonts w:ascii="Times New Roman" w:hAnsi="Times New Roman" w:cs="Times New Roman"/>
          <w:b/>
          <w:bCs/>
          <w:i/>
          <w:sz w:val="20"/>
        </w:rPr>
        <w:t>In Rel-15 p</w:t>
      </w:r>
      <w:r w:rsidR="00AF67BC" w:rsidRPr="00727050">
        <w:rPr>
          <w:rFonts w:ascii="Times New Roman" w:hAnsi="Times New Roman" w:cs="Times New Roman"/>
          <w:b/>
          <w:bCs/>
          <w:i/>
          <w:sz w:val="20"/>
        </w:rPr>
        <w:t>rioritize LTE TDD configurations having a more adequate number of UL and DL subframes (e.g., TDD configuration #1, #2, #3, #4)</w:t>
      </w:r>
      <w:r w:rsidR="00AF67BC" w:rsidRPr="00727050">
        <w:rPr>
          <w:rFonts w:ascii="Times New Roman" w:hAnsi="Times New Roman" w:cs="Times New Roman"/>
          <w:b/>
          <w:i/>
          <w:sz w:val="20"/>
        </w:rPr>
        <w:t xml:space="preserve">. </w:t>
      </w:r>
    </w:p>
    <w:bookmarkEnd w:id="4"/>
    <w:p w14:paraId="2858C118" w14:textId="7CB42665" w:rsidR="00BA0384" w:rsidRDefault="00BA0384" w:rsidP="00BA0384">
      <w:pPr>
        <w:pStyle w:val="Heading3"/>
      </w:pPr>
      <w:r>
        <w:lastRenderedPageBreak/>
        <w:t>Special Subframes in the TDD configurations</w:t>
      </w:r>
    </w:p>
    <w:p w14:paraId="0A52B727" w14:textId="5123B106" w:rsidR="0091578D" w:rsidRPr="004B19F7" w:rsidRDefault="0091578D" w:rsidP="0091578D">
      <w:pPr>
        <w:jc w:val="both"/>
        <w:rPr>
          <w:rFonts w:ascii="Times New Roman" w:hAnsi="Times New Roman" w:cs="Times New Roman"/>
          <w:bCs/>
          <w:iCs/>
          <w:sz w:val="20"/>
        </w:rPr>
      </w:pPr>
      <w:r w:rsidRPr="004B19F7">
        <w:rPr>
          <w:rFonts w:ascii="Times New Roman" w:hAnsi="Times New Roman" w:cs="Times New Roman"/>
          <w:bCs/>
          <w:iCs/>
          <w:sz w:val="20"/>
        </w:rPr>
        <w:t xml:space="preserve">As shown </w:t>
      </w:r>
      <w:r w:rsidRPr="00BA7E5E">
        <w:rPr>
          <w:rFonts w:ascii="Times New Roman" w:hAnsi="Times New Roman" w:cs="Times New Roman"/>
          <w:bCs/>
          <w:iCs/>
          <w:sz w:val="20"/>
        </w:rPr>
        <w:fldChar w:fldCharType="begin"/>
      </w:r>
      <w:r w:rsidRPr="004B19F7">
        <w:rPr>
          <w:rFonts w:ascii="Times New Roman" w:hAnsi="Times New Roman" w:cs="Times New Roman"/>
          <w:bCs/>
          <w:iCs/>
          <w:sz w:val="20"/>
        </w:rPr>
        <w:instrText xml:space="preserve"> REF _Ref488749878 \h  \* MERGEFORMAT </w:instrText>
      </w:r>
      <w:r w:rsidRPr="00BA7E5E">
        <w:rPr>
          <w:rFonts w:ascii="Times New Roman" w:hAnsi="Times New Roman" w:cs="Times New Roman"/>
          <w:bCs/>
          <w:iCs/>
          <w:sz w:val="20"/>
        </w:rPr>
      </w:r>
      <w:r w:rsidRPr="00BA7E5E">
        <w:rPr>
          <w:rFonts w:ascii="Times New Roman" w:hAnsi="Times New Roman" w:cs="Times New Roman"/>
          <w:bCs/>
          <w:iCs/>
          <w:sz w:val="20"/>
        </w:rPr>
        <w:fldChar w:fldCharType="separate"/>
      </w:r>
      <w:r w:rsidR="00D46219" w:rsidRPr="00D46219">
        <w:rPr>
          <w:rFonts w:ascii="Times New Roman" w:hAnsi="Times New Roman" w:cs="Times New Roman"/>
          <w:bCs/>
          <w:iCs/>
          <w:sz w:val="20"/>
        </w:rPr>
        <w:t xml:space="preserve">Table </w:t>
      </w:r>
      <w:r w:rsidR="00D46219" w:rsidRPr="00D46219">
        <w:rPr>
          <w:rFonts w:ascii="Times New Roman" w:hAnsi="Times New Roman" w:cs="Times New Roman"/>
          <w:bCs/>
          <w:iCs/>
          <w:sz w:val="20"/>
        </w:rPr>
        <w:t>1</w:t>
      </w:r>
      <w:r w:rsidRPr="00BA7E5E">
        <w:rPr>
          <w:rFonts w:ascii="Times New Roman" w:hAnsi="Times New Roman" w:cs="Times New Roman"/>
          <w:bCs/>
          <w:iCs/>
          <w:sz w:val="20"/>
        </w:rPr>
        <w:fldChar w:fldCharType="end"/>
      </w:r>
      <w:r w:rsidRPr="004B19F7">
        <w:rPr>
          <w:rFonts w:ascii="Times New Roman" w:hAnsi="Times New Roman" w:cs="Times New Roman"/>
          <w:bCs/>
          <w:iCs/>
          <w:sz w:val="20"/>
        </w:rPr>
        <w:t xml:space="preserve"> there are seven possible ways in which the TDD operation can be configured,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w:t>
      </w:r>
    </w:p>
    <w:p w14:paraId="1D54F277" w14:textId="13D89DCD" w:rsidR="00BA0384" w:rsidRPr="002A2D3D" w:rsidRDefault="00BA0384" w:rsidP="00BA7E5E">
      <w:pPr>
        <w:jc w:val="both"/>
        <w:rPr>
          <w:rFonts w:ascii="Times New Roman" w:hAnsi="Times New Roman" w:cs="Times New Roman"/>
        </w:rPr>
      </w:pPr>
      <w:r w:rsidRPr="004B19F7">
        <w:rPr>
          <w:rFonts w:ascii="Times New Roman" w:hAnsi="Times New Roman" w:cs="Times New Roman"/>
          <w:sz w:val="20"/>
        </w:rPr>
        <w:t xml:space="preserve">A special subframe </w:t>
      </w:r>
      <w:r w:rsidR="00345300">
        <w:rPr>
          <w:rFonts w:ascii="Times New Roman" w:hAnsi="Times New Roman" w:cs="Times New Roman"/>
          <w:sz w:val="20"/>
        </w:rPr>
        <w:t>includes</w:t>
      </w:r>
      <w:r w:rsidRPr="004B19F7">
        <w:rPr>
          <w:rFonts w:ascii="Times New Roman" w:hAnsi="Times New Roman" w:cs="Times New Roman"/>
          <w:sz w:val="20"/>
        </w:rPr>
        <w:t xml:space="preserve"> three fields DwPTS</w:t>
      </w:r>
      <w:r w:rsidR="005D50D8" w:rsidRPr="004B19F7">
        <w:rPr>
          <w:rFonts w:ascii="Times New Roman" w:hAnsi="Times New Roman" w:cs="Times New Roman"/>
          <w:sz w:val="20"/>
        </w:rPr>
        <w:t xml:space="preserve"> (Downlink Pilot Time Slot)</w:t>
      </w:r>
      <w:r w:rsidRPr="004B19F7">
        <w:rPr>
          <w:rFonts w:ascii="Times New Roman" w:hAnsi="Times New Roman" w:cs="Times New Roman"/>
          <w:sz w:val="20"/>
        </w:rPr>
        <w:t>, GP</w:t>
      </w:r>
      <w:r w:rsidR="005D50D8" w:rsidRPr="004B19F7">
        <w:rPr>
          <w:rFonts w:ascii="Times New Roman" w:hAnsi="Times New Roman" w:cs="Times New Roman"/>
          <w:sz w:val="20"/>
        </w:rPr>
        <w:t xml:space="preserve"> (Guard Period),</w:t>
      </w:r>
      <w:r w:rsidRPr="004B19F7">
        <w:rPr>
          <w:rFonts w:ascii="Times New Roman" w:hAnsi="Times New Roman" w:cs="Times New Roman"/>
          <w:sz w:val="20"/>
        </w:rPr>
        <w:t xml:space="preserve"> and UpPTS </w:t>
      </w:r>
      <w:r w:rsidR="005D50D8" w:rsidRPr="004B19F7">
        <w:rPr>
          <w:rFonts w:ascii="Times New Roman" w:hAnsi="Times New Roman" w:cs="Times New Roman"/>
          <w:sz w:val="20"/>
        </w:rPr>
        <w:t xml:space="preserve">(Uplink Pilot Time Slot) </w:t>
      </w:r>
      <w:r w:rsidRPr="004B19F7">
        <w:rPr>
          <w:rFonts w:ascii="Times New Roman" w:hAnsi="Times New Roman" w:cs="Times New Roman"/>
          <w:sz w:val="20"/>
        </w:rPr>
        <w:t xml:space="preserve">of variable length, which are subject to </w:t>
      </w:r>
      <w:r w:rsidR="002D7C05" w:rsidRPr="004B19F7">
        <w:rPr>
          <w:rFonts w:ascii="Times New Roman" w:hAnsi="Times New Roman" w:cs="Times New Roman"/>
          <w:sz w:val="20"/>
        </w:rPr>
        <w:t>a</w:t>
      </w:r>
      <w:r w:rsidRPr="004B19F7">
        <w:rPr>
          <w:rFonts w:ascii="Times New Roman" w:hAnsi="Times New Roman" w:cs="Times New Roman"/>
          <w:sz w:val="20"/>
        </w:rPr>
        <w:t xml:space="preserve"> total length equal to</w:t>
      </w:r>
      <w:r w:rsidRPr="006A3899">
        <w:rPr>
          <w:rFonts w:ascii="Times New Roman" w:hAnsi="Times New Roman" w:cs="Times New Roman"/>
          <w:position w:val="-10"/>
          <w:sz w:val="20"/>
        </w:rPr>
        <w:object w:dxaOrig="1380" w:dyaOrig="300" w14:anchorId="0AF67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5pt;height:15.05pt" o:ole="">
            <v:imagedata r:id="rId9" o:title=""/>
          </v:shape>
          <o:OLEObject Type="Embed" ProgID="Equation.3" ShapeID="_x0000_i1025" DrawAspect="Content" ObjectID="_1572432391" r:id="rId10"/>
        </w:object>
      </w:r>
      <w:r w:rsidRPr="004B19F7">
        <w:rPr>
          <w:rFonts w:ascii="Times New Roman" w:hAnsi="Times New Roman" w:cs="Times New Roman"/>
          <w:sz w:val="20"/>
        </w:rPr>
        <w:t>[</w:t>
      </w:r>
      <w:r w:rsidR="00F34AB6">
        <w:rPr>
          <w:rFonts w:ascii="Times New Roman" w:hAnsi="Times New Roman" w:cs="Times New Roman"/>
          <w:sz w:val="20"/>
        </w:rPr>
        <w:t>7</w:t>
      </w:r>
      <w:r w:rsidRPr="004B19F7">
        <w:rPr>
          <w:rFonts w:ascii="Times New Roman" w:hAnsi="Times New Roman" w:cs="Times New Roman"/>
          <w:sz w:val="20"/>
        </w:rPr>
        <w:t xml:space="preserve">]. </w:t>
      </w:r>
      <w:r w:rsidRPr="002A2D3D">
        <w:rPr>
          <w:rFonts w:ascii="Times New Roman" w:hAnsi="Times New Roman" w:cs="Times New Roman"/>
          <w:sz w:val="20"/>
        </w:rPr>
        <w:t xml:space="preserve">Figure </w:t>
      </w:r>
      <w:r w:rsidR="002A2D3D">
        <w:rPr>
          <w:rFonts w:ascii="Times New Roman" w:hAnsi="Times New Roman" w:cs="Times New Roman"/>
          <w:sz w:val="20"/>
        </w:rPr>
        <w:t>2</w:t>
      </w:r>
      <w:r w:rsidRPr="002A2D3D">
        <w:rPr>
          <w:rFonts w:ascii="Times New Roman" w:hAnsi="Times New Roman" w:cs="Times New Roman"/>
          <w:sz w:val="20"/>
        </w:rPr>
        <w:t xml:space="preserve"> depicts the structure of a special subframe.</w:t>
      </w:r>
      <w:r w:rsidRPr="002A2D3D">
        <w:rPr>
          <w:rFonts w:ascii="Times New Roman" w:hAnsi="Times New Roman" w:cs="Times New Roman"/>
        </w:rPr>
        <w:t xml:space="preserve"> </w:t>
      </w:r>
    </w:p>
    <w:p w14:paraId="24B8BA47" w14:textId="77777777" w:rsidR="00E155D8" w:rsidRPr="002A2D3D" w:rsidRDefault="00E155D8" w:rsidP="00BA7E5E">
      <w:pPr>
        <w:jc w:val="both"/>
        <w:rPr>
          <w:rFonts w:ascii="Times New Roman" w:hAnsi="Times New Roman" w:cs="Times New Roman"/>
        </w:rPr>
      </w:pPr>
    </w:p>
    <w:p w14:paraId="47EBE783" w14:textId="1F44343C" w:rsidR="008B7E6F" w:rsidRDefault="00096217" w:rsidP="00525A9F">
      <w:pPr>
        <w:keepNext/>
        <w:jc w:val="center"/>
      </w:pPr>
      <w:r>
        <w:rPr>
          <w:noProof/>
        </w:rPr>
        <w:drawing>
          <wp:inline distT="0" distB="0" distL="0" distR="0" wp14:anchorId="5C2180FB" wp14:editId="2F59B367">
            <wp:extent cx="1781175" cy="1104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1104900"/>
                    </a:xfrm>
                    <a:prstGeom prst="rect">
                      <a:avLst/>
                    </a:prstGeom>
                    <a:noFill/>
                    <a:ln>
                      <a:noFill/>
                    </a:ln>
                  </pic:spPr>
                </pic:pic>
              </a:graphicData>
            </a:graphic>
          </wp:inline>
        </w:drawing>
      </w:r>
    </w:p>
    <w:p w14:paraId="5EE6740E" w14:textId="25D1EA84" w:rsidR="00BA0384" w:rsidRPr="004B19F7" w:rsidRDefault="008B7E6F" w:rsidP="00525A9F">
      <w:pPr>
        <w:pStyle w:val="Caption"/>
        <w:jc w:val="center"/>
        <w:rPr>
          <w:b/>
        </w:rPr>
      </w:pPr>
      <w:r w:rsidRPr="004B19F7">
        <w:rPr>
          <w:b/>
        </w:rPr>
        <w:t xml:space="preserve">Figure </w:t>
      </w:r>
      <w:r w:rsidR="002A2D3D" w:rsidRPr="002A2D3D">
        <w:rPr>
          <w:b/>
        </w:rPr>
        <w:t>2</w:t>
      </w:r>
      <w:r w:rsidRPr="004B19F7">
        <w:rPr>
          <w:b/>
        </w:rPr>
        <w:t xml:space="preserve"> Fields carried over the special subframe</w:t>
      </w:r>
    </w:p>
    <w:p w14:paraId="5A72B005" w14:textId="557FE4FA" w:rsidR="00BA0384" w:rsidRPr="004B19F7" w:rsidRDefault="00BA0384" w:rsidP="00BA0384">
      <w:pPr>
        <w:rPr>
          <w:rFonts w:ascii="Times New Roman" w:hAnsi="Times New Roman" w:cs="Times New Roman"/>
          <w:sz w:val="20"/>
        </w:rPr>
      </w:pPr>
      <w:r w:rsidRPr="004B19F7">
        <w:rPr>
          <w:rFonts w:ascii="Times New Roman" w:hAnsi="Times New Roman" w:cs="Times New Roman"/>
          <w:sz w:val="20"/>
        </w:rPr>
        <w:t>Table 2 shows the available special subframe configurations for normal cyclic prefix in both uplink and downlink.</w:t>
      </w:r>
    </w:p>
    <w:p w14:paraId="0BBE1612" w14:textId="76BF4E0F" w:rsidR="002E6558" w:rsidRPr="004B19F7" w:rsidRDefault="002E6558" w:rsidP="00525A9F">
      <w:pPr>
        <w:pStyle w:val="Caption"/>
        <w:keepNext/>
        <w:jc w:val="center"/>
        <w:rPr>
          <w:b/>
        </w:rPr>
      </w:pPr>
      <w:r w:rsidRPr="004B19F7">
        <w:rPr>
          <w:b/>
        </w:rPr>
        <w:t xml:space="preserve">Table </w:t>
      </w:r>
      <w:r w:rsidRPr="00525A9F">
        <w:rPr>
          <w:b/>
        </w:rPr>
        <w:fldChar w:fldCharType="begin"/>
      </w:r>
      <w:r w:rsidRPr="004B19F7">
        <w:rPr>
          <w:b/>
        </w:rPr>
        <w:instrText xml:space="preserve"> SEQ Table \* ARABIC </w:instrText>
      </w:r>
      <w:r w:rsidRPr="00525A9F">
        <w:rPr>
          <w:b/>
        </w:rPr>
        <w:fldChar w:fldCharType="separate"/>
      </w:r>
      <w:r w:rsidR="00D46219">
        <w:rPr>
          <w:b/>
          <w:noProof/>
        </w:rPr>
        <w:t>2</w:t>
      </w:r>
      <w:r w:rsidRPr="00525A9F">
        <w:rPr>
          <w:b/>
        </w:rPr>
        <w:fldChar w:fldCharType="end"/>
      </w:r>
      <w:r w:rsidRPr="004B19F7">
        <w:rPr>
          <w:b/>
        </w:rPr>
        <w:t xml:space="preserve"> Configuration of special subframe (lengths of DwPTS/GP/UpPTS)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035"/>
        <w:gridCol w:w="1594"/>
        <w:gridCol w:w="1031"/>
        <w:gridCol w:w="618"/>
        <w:gridCol w:w="995"/>
      </w:tblGrid>
      <w:tr w:rsidR="00BA0384" w:rsidRPr="001F7F88" w14:paraId="4D20E3B5" w14:textId="77777777" w:rsidTr="0083129C">
        <w:trPr>
          <w:trHeight w:val="115"/>
          <w:jc w:val="center"/>
        </w:trPr>
        <w:tc>
          <w:tcPr>
            <w:tcW w:w="0" w:type="auto"/>
            <w:vMerge w:val="restart"/>
            <w:shd w:val="clear" w:color="auto" w:fill="E7E6E6"/>
          </w:tcPr>
          <w:p w14:paraId="730DEC1B"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Special subframe configuration</w:t>
            </w:r>
          </w:p>
        </w:tc>
        <w:tc>
          <w:tcPr>
            <w:tcW w:w="0" w:type="auto"/>
            <w:gridSpan w:val="2"/>
            <w:shd w:val="clear" w:color="auto" w:fill="E7E6E6"/>
          </w:tcPr>
          <w:p w14:paraId="7827C6F5" w14:textId="77777777" w:rsidR="00BA0384" w:rsidRPr="004B19F7" w:rsidRDefault="00BA0384" w:rsidP="00856D15">
            <w:pPr>
              <w:jc w:val="center"/>
              <w:rPr>
                <w:rFonts w:ascii="Arial" w:hAnsi="Arial" w:cs="Arial"/>
                <w:b/>
                <w:sz w:val="14"/>
                <w:szCs w:val="14"/>
                <w:highlight w:val="yellow"/>
              </w:rPr>
            </w:pPr>
            <w:r w:rsidRPr="004B19F7">
              <w:rPr>
                <w:rFonts w:ascii="Arial" w:hAnsi="Arial" w:cs="Arial"/>
                <w:b/>
                <w:sz w:val="14"/>
                <w:szCs w:val="14"/>
              </w:rPr>
              <w:t>Normal cyclic prefix in downlink</w:t>
            </w:r>
          </w:p>
        </w:tc>
        <w:tc>
          <w:tcPr>
            <w:tcW w:w="0" w:type="auto"/>
            <w:gridSpan w:val="3"/>
            <w:shd w:val="clear" w:color="auto" w:fill="E7E6E6"/>
          </w:tcPr>
          <w:p w14:paraId="2908AEA6" w14:textId="77777777" w:rsidR="00BA0384" w:rsidRPr="004B19F7" w:rsidRDefault="00BA0384" w:rsidP="00856D15">
            <w:pPr>
              <w:jc w:val="center"/>
              <w:rPr>
                <w:rFonts w:ascii="Arial" w:hAnsi="Arial" w:cs="Arial"/>
                <w:sz w:val="14"/>
                <w:szCs w:val="14"/>
                <w:highlight w:val="yellow"/>
              </w:rPr>
            </w:pPr>
            <w:r w:rsidRPr="004B19F7">
              <w:rPr>
                <w:rFonts w:ascii="Arial" w:hAnsi="Arial" w:cs="Arial"/>
                <w:b/>
                <w:sz w:val="14"/>
                <w:szCs w:val="14"/>
              </w:rPr>
              <w:t>Number of OFDM symbols/subframe</w:t>
            </w:r>
          </w:p>
        </w:tc>
      </w:tr>
      <w:tr w:rsidR="00BA0384" w:rsidRPr="00856D15" w14:paraId="58E34789" w14:textId="77777777" w:rsidTr="0083129C">
        <w:trPr>
          <w:trHeight w:val="115"/>
          <w:jc w:val="center"/>
        </w:trPr>
        <w:tc>
          <w:tcPr>
            <w:tcW w:w="0" w:type="auto"/>
            <w:vMerge/>
            <w:shd w:val="clear" w:color="auto" w:fill="E7E6E6"/>
          </w:tcPr>
          <w:p w14:paraId="01CC6296" w14:textId="77777777" w:rsidR="00BA0384" w:rsidRPr="004B19F7" w:rsidRDefault="00BA0384" w:rsidP="00856D15">
            <w:pPr>
              <w:jc w:val="center"/>
              <w:rPr>
                <w:rFonts w:ascii="Arial" w:hAnsi="Arial" w:cs="Arial"/>
                <w:b/>
                <w:sz w:val="14"/>
                <w:szCs w:val="14"/>
                <w:highlight w:val="yellow"/>
              </w:rPr>
            </w:pPr>
          </w:p>
        </w:tc>
        <w:tc>
          <w:tcPr>
            <w:tcW w:w="0" w:type="auto"/>
            <w:shd w:val="clear" w:color="auto" w:fill="E7E6E6"/>
          </w:tcPr>
          <w:p w14:paraId="18EEC114"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DwPTS</w:t>
            </w:r>
          </w:p>
        </w:tc>
        <w:tc>
          <w:tcPr>
            <w:tcW w:w="0" w:type="auto"/>
            <w:shd w:val="clear" w:color="auto" w:fill="E7E6E6"/>
          </w:tcPr>
          <w:p w14:paraId="1A71D2AB" w14:textId="77777777" w:rsidR="00BA0384" w:rsidRPr="004B19F7" w:rsidRDefault="00BA0384" w:rsidP="00856D15">
            <w:pPr>
              <w:jc w:val="center"/>
              <w:rPr>
                <w:rFonts w:ascii="Arial" w:hAnsi="Arial" w:cs="Arial"/>
                <w:b/>
                <w:sz w:val="14"/>
                <w:szCs w:val="14"/>
              </w:rPr>
            </w:pPr>
            <w:r w:rsidRPr="004B19F7">
              <w:rPr>
                <w:rFonts w:ascii="Arial" w:hAnsi="Arial" w:cs="Arial"/>
                <w:b/>
                <w:sz w:val="14"/>
                <w:szCs w:val="14"/>
              </w:rPr>
              <w:t>UpPTS</w:t>
            </w:r>
          </w:p>
          <w:p w14:paraId="1BABAFA8" w14:textId="77777777" w:rsidR="00BA0384" w:rsidRPr="004B19F7" w:rsidRDefault="00BA0384" w:rsidP="00856D15">
            <w:pPr>
              <w:jc w:val="center"/>
              <w:rPr>
                <w:rFonts w:ascii="Arial" w:hAnsi="Arial" w:cs="Arial"/>
                <w:b/>
                <w:sz w:val="14"/>
                <w:szCs w:val="14"/>
                <w:highlight w:val="yellow"/>
              </w:rPr>
            </w:pPr>
            <w:r w:rsidRPr="004B19F7">
              <w:rPr>
                <w:rFonts w:ascii="Arial" w:hAnsi="Arial" w:cs="Arial"/>
                <w:b/>
                <w:sz w:val="14"/>
                <w:szCs w:val="14"/>
              </w:rPr>
              <w:t>(Normal cyclic prefix</w:t>
            </w:r>
            <w:r w:rsidRPr="004B19F7">
              <w:rPr>
                <w:rFonts w:ascii="Arial" w:hAnsi="Arial" w:cs="Arial"/>
                <w:b/>
                <w:sz w:val="14"/>
                <w:szCs w:val="14"/>
              </w:rPr>
              <w:br/>
              <w:t xml:space="preserve"> in  uplink)</w:t>
            </w:r>
          </w:p>
        </w:tc>
        <w:tc>
          <w:tcPr>
            <w:tcW w:w="0" w:type="auto"/>
            <w:shd w:val="clear" w:color="auto" w:fill="E7E6E6"/>
          </w:tcPr>
          <w:p w14:paraId="247E8917"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DwPTS</w:t>
            </w:r>
          </w:p>
        </w:tc>
        <w:tc>
          <w:tcPr>
            <w:tcW w:w="0" w:type="auto"/>
            <w:shd w:val="clear" w:color="auto" w:fill="E7E6E6"/>
          </w:tcPr>
          <w:p w14:paraId="255DEEA8"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GP</w:t>
            </w:r>
          </w:p>
        </w:tc>
        <w:tc>
          <w:tcPr>
            <w:tcW w:w="0" w:type="auto"/>
            <w:shd w:val="clear" w:color="auto" w:fill="E7E6E6"/>
          </w:tcPr>
          <w:p w14:paraId="1F995875"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UpPTS</w:t>
            </w:r>
          </w:p>
        </w:tc>
      </w:tr>
      <w:tr w:rsidR="00BA0384" w:rsidRPr="00856D15" w14:paraId="7C658320" w14:textId="77777777" w:rsidTr="0083129C">
        <w:trPr>
          <w:jc w:val="center"/>
        </w:trPr>
        <w:tc>
          <w:tcPr>
            <w:tcW w:w="0" w:type="auto"/>
            <w:shd w:val="clear" w:color="auto" w:fill="auto"/>
            <w:vAlign w:val="center"/>
          </w:tcPr>
          <w:p w14:paraId="223C341B"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0</w:t>
            </w:r>
          </w:p>
        </w:tc>
        <w:tc>
          <w:tcPr>
            <w:tcW w:w="0" w:type="auto"/>
            <w:shd w:val="clear" w:color="auto" w:fill="auto"/>
            <w:vAlign w:val="center"/>
          </w:tcPr>
          <w:p w14:paraId="7AA7A168"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27859E65">
                <v:shape id="_x0000_i1026" type="#_x0000_t75" style="width:36.55pt;height:15.05pt" o:ole="">
                  <v:imagedata r:id="rId12" o:title=""/>
                </v:shape>
                <o:OLEObject Type="Embed" ProgID="Equation.3" ShapeID="_x0000_i1026" DrawAspect="Content" ObjectID="_1572432392" r:id="rId13"/>
              </w:object>
            </w:r>
          </w:p>
        </w:tc>
        <w:tc>
          <w:tcPr>
            <w:tcW w:w="0" w:type="auto"/>
            <w:vMerge w:val="restart"/>
            <w:shd w:val="clear" w:color="auto" w:fill="auto"/>
            <w:vAlign w:val="center"/>
          </w:tcPr>
          <w:p w14:paraId="0BE81C6E"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2192∙T</w:t>
            </w:r>
            <w:r w:rsidRPr="0083129C">
              <w:rPr>
                <w:rFonts w:ascii="Arial" w:hAnsi="Arial" w:cs="Arial"/>
                <w:sz w:val="14"/>
                <w:szCs w:val="14"/>
                <w:vertAlign w:val="subscript"/>
              </w:rPr>
              <w:t>s</w:t>
            </w:r>
          </w:p>
        </w:tc>
        <w:tc>
          <w:tcPr>
            <w:tcW w:w="0" w:type="auto"/>
            <w:shd w:val="clear" w:color="auto" w:fill="auto"/>
          </w:tcPr>
          <w:p w14:paraId="62974EFF"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61BE7ED3"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4145D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301DA7AA" w14:textId="77777777" w:rsidTr="0083129C">
        <w:trPr>
          <w:jc w:val="center"/>
        </w:trPr>
        <w:tc>
          <w:tcPr>
            <w:tcW w:w="0" w:type="auto"/>
            <w:shd w:val="clear" w:color="auto" w:fill="auto"/>
            <w:vAlign w:val="center"/>
          </w:tcPr>
          <w:p w14:paraId="5D645D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w:t>
            </w:r>
          </w:p>
        </w:tc>
        <w:tc>
          <w:tcPr>
            <w:tcW w:w="0" w:type="auto"/>
            <w:shd w:val="clear" w:color="auto" w:fill="auto"/>
            <w:vAlign w:val="center"/>
          </w:tcPr>
          <w:p w14:paraId="6E72794C"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4C1A4E00">
                <v:shape id="_x0000_i1027" type="#_x0000_t75" style="width:40.85pt;height:15.05pt" o:ole="">
                  <v:imagedata r:id="rId14" o:title=""/>
                </v:shape>
                <o:OLEObject Type="Embed" ProgID="Equation.3" ShapeID="_x0000_i1027" DrawAspect="Content" ObjectID="_1572432393" r:id="rId15"/>
              </w:object>
            </w:r>
          </w:p>
        </w:tc>
        <w:tc>
          <w:tcPr>
            <w:tcW w:w="0" w:type="auto"/>
            <w:vMerge/>
            <w:shd w:val="clear" w:color="auto" w:fill="auto"/>
            <w:vAlign w:val="center"/>
          </w:tcPr>
          <w:p w14:paraId="38A43C6A" w14:textId="77777777" w:rsidR="00BA0384" w:rsidRPr="0083129C" w:rsidRDefault="00BA0384" w:rsidP="00856D15">
            <w:pPr>
              <w:pStyle w:val="TAC"/>
              <w:rPr>
                <w:rFonts w:ascii="Arial" w:hAnsi="Arial" w:cs="Arial"/>
                <w:sz w:val="14"/>
                <w:szCs w:val="14"/>
              </w:rPr>
            </w:pPr>
          </w:p>
        </w:tc>
        <w:tc>
          <w:tcPr>
            <w:tcW w:w="0" w:type="auto"/>
            <w:shd w:val="clear" w:color="auto" w:fill="auto"/>
          </w:tcPr>
          <w:p w14:paraId="0FAE86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356113A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4</w:t>
            </w:r>
          </w:p>
        </w:tc>
        <w:tc>
          <w:tcPr>
            <w:tcW w:w="0" w:type="auto"/>
            <w:shd w:val="clear" w:color="auto" w:fill="auto"/>
          </w:tcPr>
          <w:p w14:paraId="683ABAD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4E21A4E8" w14:textId="77777777" w:rsidTr="0083129C">
        <w:trPr>
          <w:jc w:val="center"/>
        </w:trPr>
        <w:tc>
          <w:tcPr>
            <w:tcW w:w="0" w:type="auto"/>
            <w:shd w:val="clear" w:color="auto" w:fill="auto"/>
            <w:vAlign w:val="center"/>
          </w:tcPr>
          <w:p w14:paraId="7CB5E006"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w:t>
            </w:r>
          </w:p>
        </w:tc>
        <w:tc>
          <w:tcPr>
            <w:tcW w:w="0" w:type="auto"/>
            <w:shd w:val="clear" w:color="auto" w:fill="auto"/>
            <w:vAlign w:val="center"/>
          </w:tcPr>
          <w:p w14:paraId="68603A04"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282F3084">
                <v:shape id="_x0000_i1028" type="#_x0000_t75" style="width:40.85pt;height:15.05pt" o:ole="">
                  <v:imagedata r:id="rId16" o:title=""/>
                </v:shape>
                <o:OLEObject Type="Embed" ProgID="Equation.3" ShapeID="_x0000_i1028" DrawAspect="Content" ObjectID="_1572432394" r:id="rId17"/>
              </w:object>
            </w:r>
          </w:p>
        </w:tc>
        <w:tc>
          <w:tcPr>
            <w:tcW w:w="0" w:type="auto"/>
            <w:vMerge/>
            <w:shd w:val="clear" w:color="auto" w:fill="auto"/>
            <w:vAlign w:val="center"/>
          </w:tcPr>
          <w:p w14:paraId="4E9EA4C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3723A99A"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E2E4DD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016D033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75FEECBC" w14:textId="77777777" w:rsidTr="0083129C">
        <w:trPr>
          <w:jc w:val="center"/>
        </w:trPr>
        <w:tc>
          <w:tcPr>
            <w:tcW w:w="0" w:type="auto"/>
            <w:shd w:val="clear" w:color="auto" w:fill="auto"/>
            <w:vAlign w:val="center"/>
          </w:tcPr>
          <w:p w14:paraId="7BC03424"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3</w:t>
            </w:r>
          </w:p>
        </w:tc>
        <w:tc>
          <w:tcPr>
            <w:tcW w:w="0" w:type="auto"/>
            <w:shd w:val="clear" w:color="auto" w:fill="auto"/>
            <w:vAlign w:val="center"/>
          </w:tcPr>
          <w:p w14:paraId="179D48E9"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3564FB9D">
                <v:shape id="_x0000_i1029" type="#_x0000_t75" style="width:40.85pt;height:15.05pt" o:ole="">
                  <v:imagedata r:id="rId18" o:title=""/>
                </v:shape>
                <o:OLEObject Type="Embed" ProgID="Equation.3" ShapeID="_x0000_i1029" DrawAspect="Content" ObjectID="_1572432395" r:id="rId19"/>
              </w:object>
            </w:r>
          </w:p>
        </w:tc>
        <w:tc>
          <w:tcPr>
            <w:tcW w:w="0" w:type="auto"/>
            <w:vMerge/>
            <w:shd w:val="clear" w:color="auto" w:fill="auto"/>
            <w:vAlign w:val="center"/>
          </w:tcPr>
          <w:p w14:paraId="0802C1A1" w14:textId="77777777" w:rsidR="00BA0384" w:rsidRPr="0083129C" w:rsidRDefault="00BA0384" w:rsidP="00856D15">
            <w:pPr>
              <w:pStyle w:val="TAC"/>
              <w:rPr>
                <w:rFonts w:ascii="Arial" w:hAnsi="Arial" w:cs="Arial"/>
                <w:sz w:val="14"/>
                <w:szCs w:val="14"/>
              </w:rPr>
            </w:pPr>
          </w:p>
        </w:tc>
        <w:tc>
          <w:tcPr>
            <w:tcW w:w="0" w:type="auto"/>
            <w:shd w:val="clear" w:color="auto" w:fill="auto"/>
          </w:tcPr>
          <w:p w14:paraId="6CCAECB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3FE72CC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2AD861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50AF15A4" w14:textId="77777777" w:rsidTr="0083129C">
        <w:trPr>
          <w:jc w:val="center"/>
        </w:trPr>
        <w:tc>
          <w:tcPr>
            <w:tcW w:w="0" w:type="auto"/>
            <w:shd w:val="clear" w:color="auto" w:fill="auto"/>
            <w:vAlign w:val="center"/>
          </w:tcPr>
          <w:p w14:paraId="4FCCDF35"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4</w:t>
            </w:r>
          </w:p>
        </w:tc>
        <w:tc>
          <w:tcPr>
            <w:tcW w:w="0" w:type="auto"/>
            <w:shd w:val="clear" w:color="auto" w:fill="auto"/>
            <w:vAlign w:val="center"/>
          </w:tcPr>
          <w:p w14:paraId="019BD84A"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7E1590B2">
                <v:shape id="_x0000_i1030" type="#_x0000_t75" style="width:40.85pt;height:15.05pt" o:ole="">
                  <v:imagedata r:id="rId20" o:title=""/>
                </v:shape>
                <o:OLEObject Type="Embed" ProgID="Equation.3" ShapeID="_x0000_i1030" DrawAspect="Content" ObjectID="_1572432396" r:id="rId21"/>
              </w:object>
            </w:r>
          </w:p>
        </w:tc>
        <w:tc>
          <w:tcPr>
            <w:tcW w:w="0" w:type="auto"/>
            <w:vMerge/>
            <w:shd w:val="clear" w:color="auto" w:fill="auto"/>
            <w:vAlign w:val="center"/>
          </w:tcPr>
          <w:p w14:paraId="52C52ECD"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1A156D9"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12</w:t>
            </w:r>
          </w:p>
        </w:tc>
        <w:tc>
          <w:tcPr>
            <w:tcW w:w="0" w:type="auto"/>
            <w:shd w:val="clear" w:color="auto" w:fill="auto"/>
          </w:tcPr>
          <w:p w14:paraId="558DA91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369D6EC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68B754E0" w14:textId="77777777" w:rsidTr="0083129C">
        <w:trPr>
          <w:jc w:val="center"/>
        </w:trPr>
        <w:tc>
          <w:tcPr>
            <w:tcW w:w="0" w:type="auto"/>
            <w:shd w:val="clear" w:color="auto" w:fill="auto"/>
            <w:vAlign w:val="center"/>
          </w:tcPr>
          <w:p w14:paraId="67DE168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5</w:t>
            </w:r>
          </w:p>
        </w:tc>
        <w:tc>
          <w:tcPr>
            <w:tcW w:w="0" w:type="auto"/>
            <w:shd w:val="clear" w:color="auto" w:fill="auto"/>
            <w:vAlign w:val="center"/>
          </w:tcPr>
          <w:p w14:paraId="4E126293"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1C5CF4A0">
                <v:shape id="_x0000_i1031" type="#_x0000_t75" style="width:36.55pt;height:15.05pt" o:ole="">
                  <v:imagedata r:id="rId22" o:title=""/>
                </v:shape>
                <o:OLEObject Type="Embed" ProgID="Equation.3" ShapeID="_x0000_i1031" DrawAspect="Content" ObjectID="_1572432397" r:id="rId23"/>
              </w:object>
            </w:r>
          </w:p>
        </w:tc>
        <w:tc>
          <w:tcPr>
            <w:tcW w:w="0" w:type="auto"/>
            <w:vMerge w:val="restart"/>
            <w:shd w:val="clear" w:color="auto" w:fill="auto"/>
            <w:vAlign w:val="center"/>
          </w:tcPr>
          <w:p w14:paraId="325C8A14" w14:textId="77777777" w:rsidR="00BA0384" w:rsidRPr="0083129C" w:rsidRDefault="00BA0384" w:rsidP="00856D15">
            <w:pPr>
              <w:pStyle w:val="TAC"/>
              <w:rPr>
                <w:rFonts w:ascii="Arial" w:hAnsi="Arial" w:cs="Arial"/>
                <w:sz w:val="14"/>
                <w:szCs w:val="14"/>
                <w:vertAlign w:val="subscript"/>
              </w:rPr>
            </w:pPr>
            <w:r w:rsidRPr="0083129C">
              <w:rPr>
                <w:rFonts w:ascii="Arial" w:hAnsi="Arial" w:cs="Arial"/>
                <w:sz w:val="14"/>
                <w:szCs w:val="14"/>
              </w:rPr>
              <w:t>4384∙T</w:t>
            </w:r>
            <w:r w:rsidRPr="0083129C">
              <w:rPr>
                <w:rFonts w:ascii="Arial" w:hAnsi="Arial" w:cs="Arial"/>
                <w:sz w:val="14"/>
                <w:szCs w:val="14"/>
                <w:vertAlign w:val="subscript"/>
              </w:rPr>
              <w:t>s</w:t>
            </w:r>
          </w:p>
          <w:p w14:paraId="2329F197" w14:textId="77777777" w:rsidR="00BA0384" w:rsidRPr="0083129C" w:rsidRDefault="00BA0384" w:rsidP="00856D15">
            <w:pPr>
              <w:pStyle w:val="TAC"/>
              <w:rPr>
                <w:rFonts w:ascii="Arial" w:hAnsi="Arial" w:cs="Arial"/>
                <w:sz w:val="14"/>
                <w:szCs w:val="14"/>
              </w:rPr>
            </w:pPr>
          </w:p>
        </w:tc>
        <w:tc>
          <w:tcPr>
            <w:tcW w:w="0" w:type="auto"/>
            <w:shd w:val="clear" w:color="auto" w:fill="auto"/>
          </w:tcPr>
          <w:p w14:paraId="1B25FCE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B641B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6A91716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5B5B37D4" w14:textId="77777777" w:rsidTr="0083129C">
        <w:trPr>
          <w:jc w:val="center"/>
        </w:trPr>
        <w:tc>
          <w:tcPr>
            <w:tcW w:w="0" w:type="auto"/>
            <w:shd w:val="clear" w:color="auto" w:fill="auto"/>
            <w:vAlign w:val="center"/>
          </w:tcPr>
          <w:p w14:paraId="5C400FE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6</w:t>
            </w:r>
          </w:p>
        </w:tc>
        <w:tc>
          <w:tcPr>
            <w:tcW w:w="0" w:type="auto"/>
            <w:shd w:val="clear" w:color="auto" w:fill="auto"/>
            <w:vAlign w:val="center"/>
          </w:tcPr>
          <w:p w14:paraId="20AE2A4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3521709F">
                <v:shape id="_x0000_i1032" type="#_x0000_t75" style="width:40.85pt;height:15.05pt" o:ole="">
                  <v:imagedata r:id="rId24" o:title=""/>
                </v:shape>
                <o:OLEObject Type="Embed" ProgID="Equation.3" ShapeID="_x0000_i1032" DrawAspect="Content" ObjectID="_1572432398" r:id="rId25"/>
              </w:object>
            </w:r>
          </w:p>
        </w:tc>
        <w:tc>
          <w:tcPr>
            <w:tcW w:w="0" w:type="auto"/>
            <w:vMerge/>
            <w:shd w:val="clear" w:color="auto" w:fill="auto"/>
            <w:vAlign w:val="center"/>
          </w:tcPr>
          <w:p w14:paraId="5498526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29D781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1E14887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4C4C23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00E8B0FD" w14:textId="77777777" w:rsidTr="0083129C">
        <w:trPr>
          <w:jc w:val="center"/>
        </w:trPr>
        <w:tc>
          <w:tcPr>
            <w:tcW w:w="0" w:type="auto"/>
            <w:shd w:val="clear" w:color="auto" w:fill="auto"/>
            <w:vAlign w:val="center"/>
          </w:tcPr>
          <w:p w14:paraId="5579B24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7</w:t>
            </w:r>
          </w:p>
        </w:tc>
        <w:tc>
          <w:tcPr>
            <w:tcW w:w="0" w:type="auto"/>
            <w:shd w:val="clear" w:color="auto" w:fill="auto"/>
            <w:vAlign w:val="center"/>
          </w:tcPr>
          <w:p w14:paraId="38B94E12"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5EEA5D13">
                <v:shape id="_x0000_i1033" type="#_x0000_t75" style="width:40.85pt;height:15.05pt" o:ole="">
                  <v:imagedata r:id="rId26" o:title=""/>
                </v:shape>
                <o:OLEObject Type="Embed" ProgID="Equation.3" ShapeID="_x0000_i1033" DrawAspect="Content" ObjectID="_1572432399" r:id="rId27"/>
              </w:object>
            </w:r>
          </w:p>
        </w:tc>
        <w:tc>
          <w:tcPr>
            <w:tcW w:w="0" w:type="auto"/>
            <w:vMerge/>
            <w:shd w:val="clear" w:color="auto" w:fill="auto"/>
            <w:vAlign w:val="center"/>
          </w:tcPr>
          <w:p w14:paraId="37F4E12E" w14:textId="77777777" w:rsidR="00BA0384" w:rsidRPr="0083129C" w:rsidRDefault="00BA0384" w:rsidP="00856D15">
            <w:pPr>
              <w:pStyle w:val="TAC"/>
              <w:rPr>
                <w:rFonts w:ascii="Arial" w:hAnsi="Arial" w:cs="Arial"/>
                <w:sz w:val="14"/>
                <w:szCs w:val="14"/>
              </w:rPr>
            </w:pPr>
          </w:p>
        </w:tc>
        <w:tc>
          <w:tcPr>
            <w:tcW w:w="0" w:type="auto"/>
            <w:shd w:val="clear" w:color="auto" w:fill="auto"/>
          </w:tcPr>
          <w:p w14:paraId="486F76F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773449C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BFF6C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3781FF7D" w14:textId="77777777" w:rsidTr="0083129C">
        <w:trPr>
          <w:jc w:val="center"/>
        </w:trPr>
        <w:tc>
          <w:tcPr>
            <w:tcW w:w="0" w:type="auto"/>
            <w:shd w:val="clear" w:color="auto" w:fill="auto"/>
            <w:vAlign w:val="center"/>
          </w:tcPr>
          <w:p w14:paraId="79DA964D"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8</w:t>
            </w:r>
          </w:p>
        </w:tc>
        <w:tc>
          <w:tcPr>
            <w:tcW w:w="0" w:type="auto"/>
            <w:shd w:val="clear" w:color="auto" w:fill="auto"/>
            <w:vAlign w:val="center"/>
          </w:tcPr>
          <w:p w14:paraId="51C4F13F"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60018F85">
                <v:shape id="_x0000_i1034" type="#_x0000_t75" style="width:40.85pt;height:15.05pt" o:ole="">
                  <v:imagedata r:id="rId18" o:title=""/>
                </v:shape>
                <o:OLEObject Type="Embed" ProgID="Equation.3" ShapeID="_x0000_i1034" DrawAspect="Content" ObjectID="_1572432400" r:id="rId28"/>
              </w:object>
            </w:r>
          </w:p>
        </w:tc>
        <w:tc>
          <w:tcPr>
            <w:tcW w:w="0" w:type="auto"/>
            <w:vMerge/>
            <w:shd w:val="clear" w:color="auto" w:fill="auto"/>
            <w:vAlign w:val="center"/>
          </w:tcPr>
          <w:p w14:paraId="0B67EB36" w14:textId="77777777" w:rsidR="00BA0384" w:rsidRPr="0083129C" w:rsidRDefault="00BA0384" w:rsidP="00856D15">
            <w:pPr>
              <w:pStyle w:val="TAC"/>
              <w:rPr>
                <w:rFonts w:ascii="Arial" w:hAnsi="Arial" w:cs="Arial"/>
                <w:sz w:val="14"/>
                <w:szCs w:val="14"/>
              </w:rPr>
            </w:pPr>
          </w:p>
        </w:tc>
        <w:tc>
          <w:tcPr>
            <w:tcW w:w="0" w:type="auto"/>
            <w:shd w:val="clear" w:color="auto" w:fill="auto"/>
          </w:tcPr>
          <w:p w14:paraId="2CB72A9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09EACB7D"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0F8D36F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49658577" w14:textId="77777777" w:rsidTr="0083129C">
        <w:trPr>
          <w:jc w:val="center"/>
        </w:trPr>
        <w:tc>
          <w:tcPr>
            <w:tcW w:w="0" w:type="auto"/>
            <w:shd w:val="clear" w:color="auto" w:fill="auto"/>
            <w:vAlign w:val="center"/>
          </w:tcPr>
          <w:p w14:paraId="113337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9</w:t>
            </w:r>
          </w:p>
        </w:tc>
        <w:tc>
          <w:tcPr>
            <w:tcW w:w="0" w:type="auto"/>
            <w:shd w:val="clear" w:color="auto" w:fill="auto"/>
            <w:vAlign w:val="center"/>
          </w:tcPr>
          <w:p w14:paraId="74F36191"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0" w:dyaOrig="300" w14:anchorId="36EBD78E">
                <v:shape id="_x0000_i1035" type="#_x0000_t75" style="width:38.15pt;height:15.05pt" o:ole="">
                  <v:imagedata r:id="rId29" o:title=""/>
                </v:shape>
                <o:OLEObject Type="Embed" ProgID="Equation.3" ShapeID="_x0000_i1035" DrawAspect="Content" ObjectID="_1572432401" r:id="rId30"/>
              </w:object>
            </w:r>
          </w:p>
        </w:tc>
        <w:tc>
          <w:tcPr>
            <w:tcW w:w="0" w:type="auto"/>
            <w:vMerge/>
            <w:shd w:val="clear" w:color="auto" w:fill="auto"/>
            <w:vAlign w:val="center"/>
          </w:tcPr>
          <w:p w14:paraId="37F2E5AC"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C61C3D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4DA2C61A"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7896B9DF"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6F84BCAE" w14:textId="77777777" w:rsidTr="0083129C">
        <w:trPr>
          <w:jc w:val="center"/>
        </w:trPr>
        <w:tc>
          <w:tcPr>
            <w:tcW w:w="0" w:type="auto"/>
            <w:shd w:val="clear" w:color="auto" w:fill="auto"/>
            <w:vAlign w:val="center"/>
          </w:tcPr>
          <w:p w14:paraId="56BDFDF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10</w:t>
            </w:r>
          </w:p>
        </w:tc>
        <w:tc>
          <w:tcPr>
            <w:tcW w:w="0" w:type="auto"/>
            <w:shd w:val="clear" w:color="auto" w:fill="auto"/>
            <w:vAlign w:val="center"/>
          </w:tcPr>
          <w:p w14:paraId="51C507D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5" w:dyaOrig="300" w14:anchorId="10B92E31">
                <v:shape id="_x0000_i1036" type="#_x0000_t75" style="width:38.15pt;height:15.05pt" o:ole="">
                  <v:imagedata r:id="rId29" o:title=""/>
                </v:shape>
                <o:OLEObject Type="Embed" ProgID="Equation.3" ShapeID="_x0000_i1036" DrawAspect="Content" ObjectID="_1572432402" r:id="rId31"/>
              </w:object>
            </w:r>
          </w:p>
        </w:tc>
        <w:tc>
          <w:tcPr>
            <w:tcW w:w="0" w:type="auto"/>
            <w:shd w:val="clear" w:color="auto" w:fill="auto"/>
            <w:vAlign w:val="center"/>
          </w:tcPr>
          <w:p w14:paraId="0ECA501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13152∙T</w:t>
            </w:r>
            <w:r w:rsidRPr="0083129C">
              <w:rPr>
                <w:rFonts w:ascii="Arial" w:hAnsi="Arial" w:cs="Arial"/>
                <w:sz w:val="14"/>
                <w:szCs w:val="14"/>
                <w:vertAlign w:val="subscript"/>
              </w:rPr>
              <w:t>s</w:t>
            </w:r>
          </w:p>
        </w:tc>
        <w:tc>
          <w:tcPr>
            <w:tcW w:w="0" w:type="auto"/>
            <w:shd w:val="clear" w:color="auto" w:fill="auto"/>
          </w:tcPr>
          <w:p w14:paraId="026E8647"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c>
          <w:tcPr>
            <w:tcW w:w="0" w:type="auto"/>
            <w:shd w:val="clear" w:color="auto" w:fill="auto"/>
          </w:tcPr>
          <w:p w14:paraId="65220D0F"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2</w:t>
            </w:r>
          </w:p>
        </w:tc>
        <w:tc>
          <w:tcPr>
            <w:tcW w:w="0" w:type="auto"/>
            <w:shd w:val="clear" w:color="auto" w:fill="auto"/>
          </w:tcPr>
          <w:p w14:paraId="665BEC4A"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r>
    </w:tbl>
    <w:p w14:paraId="52474B55" w14:textId="77777777" w:rsidR="00BA0384" w:rsidRDefault="00BA0384" w:rsidP="00BA0384">
      <w:pPr>
        <w:rPr>
          <w:rFonts w:cs="Arial"/>
          <w:highlight w:val="yellow"/>
        </w:rPr>
      </w:pPr>
    </w:p>
    <w:p w14:paraId="278C3A2A" w14:textId="77777777" w:rsidR="00803763" w:rsidRPr="00727050" w:rsidRDefault="00803763" w:rsidP="00803763">
      <w:pPr>
        <w:rPr>
          <w:rFonts w:ascii="Times New Roman" w:hAnsi="Times New Roman" w:cs="Times New Roman"/>
          <w:sz w:val="20"/>
          <w:szCs w:val="20"/>
        </w:rPr>
      </w:pPr>
      <w:r w:rsidRPr="00727050">
        <w:rPr>
          <w:rFonts w:ascii="Times New Roman" w:hAnsi="Times New Roman" w:cs="Times New Roman"/>
          <w:sz w:val="20"/>
          <w:szCs w:val="20"/>
        </w:rPr>
        <w:t>In LS reply from RAN4 [5], it states that</w:t>
      </w:r>
    </w:p>
    <w:p w14:paraId="1CF5D15C" w14:textId="70354254" w:rsidR="00803763" w:rsidRPr="00727050" w:rsidRDefault="00803763" w:rsidP="00803763">
      <w:pPr>
        <w:rPr>
          <w:rFonts w:ascii="Times New Roman" w:hAnsi="Times New Roman" w:cs="Times New Roman"/>
          <w:sz w:val="20"/>
          <w:szCs w:val="20"/>
        </w:rPr>
      </w:pPr>
      <w:r w:rsidRPr="00727050">
        <w:rPr>
          <w:rFonts w:ascii="Times New Roman" w:hAnsi="Times New Roman" w:cs="Times New Roman"/>
          <w:sz w:val="20"/>
          <w:szCs w:val="20"/>
        </w:rPr>
        <w:t>“</w:t>
      </w:r>
      <w:r w:rsidRPr="00727050">
        <w:rPr>
          <w:rFonts w:ascii="Times New Roman" w:hAnsi="Times New Roman" w:cs="Times New Roman"/>
          <w:i/>
          <w:sz w:val="20"/>
          <w:szCs w:val="20"/>
        </w:rPr>
        <w:t xml:space="preserve">Considering NB-IoT UEs should be low complexity, RAN4 further discussed the minimum time for DL-to-UL and UL-to-DL switching on one NB-IoT carrier for TDD NB-IoT UEs and evaluated it to be equal to 20 </w:t>
      </w:r>
      <w:r w:rsidR="00345300" w:rsidRPr="00A51F2A">
        <w:rPr>
          <w:rFonts w:ascii="Symbol" w:hAnsi="Symbol" w:cs="Times New Roman"/>
          <w:sz w:val="20"/>
          <w:szCs w:val="20"/>
          <w:lang w:eastAsia="ko-KR"/>
        </w:rPr>
        <w:t></w:t>
      </w:r>
      <w:r w:rsidRPr="00727050">
        <w:rPr>
          <w:rFonts w:ascii="Times New Roman" w:eastAsia="MS Mincho" w:hAnsi="Times New Roman" w:cs="Times New Roman"/>
          <w:iCs/>
          <w:sz w:val="20"/>
          <w:szCs w:val="20"/>
          <w:lang w:eastAsia="ja-JP"/>
        </w:rPr>
        <w:t xml:space="preserve">s </w:t>
      </w:r>
      <w:r w:rsidRPr="00727050">
        <w:rPr>
          <w:rFonts w:ascii="Times New Roman" w:hAnsi="Times New Roman" w:cs="Times New Roman"/>
          <w:i/>
          <w:sz w:val="20"/>
          <w:szCs w:val="20"/>
        </w:rPr>
        <w:t>for both direction.</w:t>
      </w:r>
      <w:r w:rsidRPr="00727050">
        <w:rPr>
          <w:rFonts w:ascii="Times New Roman" w:hAnsi="Times New Roman" w:cs="Times New Roman"/>
          <w:sz w:val="20"/>
          <w:szCs w:val="20"/>
        </w:rPr>
        <w:t>”</w:t>
      </w:r>
    </w:p>
    <w:p w14:paraId="3042AEE6" w14:textId="19611DA7" w:rsidR="00803763" w:rsidRPr="00727050" w:rsidRDefault="00803763" w:rsidP="00803763">
      <w:pPr>
        <w:jc w:val="both"/>
        <w:rPr>
          <w:rFonts w:ascii="Times New Roman" w:hAnsi="Times New Roman" w:cs="Times New Roman"/>
          <w:sz w:val="20"/>
          <w:szCs w:val="20"/>
        </w:rPr>
      </w:pPr>
      <w:r w:rsidRPr="00727050">
        <w:rPr>
          <w:rFonts w:ascii="Times New Roman" w:hAnsi="Times New Roman" w:cs="Times New Roman"/>
          <w:sz w:val="20"/>
          <w:szCs w:val="20"/>
        </w:rPr>
        <w:t xml:space="preserve">Notice that in LTE, the useful symbol time is ~ 66.7 </w:t>
      </w:r>
      <w:r w:rsidR="00B14AB4" w:rsidRPr="00E259CA">
        <w:rPr>
          <w:rFonts w:ascii="Symbol" w:hAnsi="Symbol" w:cs="Times New Roman"/>
          <w:sz w:val="20"/>
          <w:szCs w:val="20"/>
          <w:lang w:eastAsia="ko-KR"/>
        </w:rPr>
        <w:t></w:t>
      </w:r>
      <w:r w:rsidRPr="00727050">
        <w:rPr>
          <w:rFonts w:ascii="Times New Roman" w:eastAsia="MS Mincho" w:hAnsi="Times New Roman" w:cs="Times New Roman"/>
          <w:iCs/>
          <w:sz w:val="20"/>
          <w:szCs w:val="20"/>
          <w:lang w:eastAsia="ja-JP"/>
        </w:rPr>
        <w:t>s</w:t>
      </w:r>
      <w:r w:rsidRPr="00727050">
        <w:rPr>
          <w:rFonts w:ascii="Times New Roman" w:hAnsi="Times New Roman" w:cs="Times New Roman"/>
          <w:sz w:val="20"/>
          <w:szCs w:val="20"/>
        </w:rPr>
        <w:t xml:space="preserve">. For normal mode, the first symbol in a slot has a cyclic prefix (CP) of ~5.2 </w:t>
      </w:r>
      <w:r w:rsidR="00B14AB4" w:rsidRPr="00E259CA">
        <w:rPr>
          <w:rFonts w:ascii="Symbol" w:hAnsi="Symbol" w:cs="Times New Roman"/>
          <w:sz w:val="20"/>
          <w:szCs w:val="20"/>
          <w:lang w:eastAsia="ko-KR"/>
        </w:rPr>
        <w:t></w:t>
      </w:r>
      <w:r w:rsidRPr="00727050">
        <w:rPr>
          <w:rFonts w:ascii="Times New Roman" w:eastAsia="MS Mincho" w:hAnsi="Times New Roman" w:cs="Times New Roman"/>
          <w:iCs/>
          <w:sz w:val="20"/>
          <w:szCs w:val="20"/>
          <w:lang w:eastAsia="ja-JP"/>
        </w:rPr>
        <w:t xml:space="preserve">s </w:t>
      </w:r>
      <w:r w:rsidRPr="00727050">
        <w:rPr>
          <w:rFonts w:ascii="Times New Roman" w:hAnsi="Times New Roman" w:cs="Times New Roman"/>
          <w:sz w:val="20"/>
          <w:szCs w:val="20"/>
        </w:rPr>
        <w:t xml:space="preserve"> and the remaining six symbols have a CP of  ~4.7 </w:t>
      </w:r>
      <w:r w:rsidR="00B14AB4" w:rsidRPr="00E259CA">
        <w:rPr>
          <w:rFonts w:ascii="Symbol" w:hAnsi="Symbol" w:cs="Times New Roman"/>
          <w:sz w:val="20"/>
          <w:szCs w:val="20"/>
          <w:lang w:eastAsia="ko-KR"/>
        </w:rPr>
        <w:t></w:t>
      </w:r>
      <w:r w:rsidRPr="00727050">
        <w:rPr>
          <w:rFonts w:ascii="Times New Roman" w:eastAsia="MS Mincho" w:hAnsi="Times New Roman" w:cs="Times New Roman"/>
          <w:iCs/>
          <w:sz w:val="20"/>
          <w:szCs w:val="20"/>
          <w:lang w:eastAsia="ja-JP"/>
        </w:rPr>
        <w:t>s</w:t>
      </w:r>
      <w:r w:rsidRPr="00727050">
        <w:rPr>
          <w:rFonts w:ascii="Times New Roman" w:hAnsi="Times New Roman" w:cs="Times New Roman"/>
          <w:sz w:val="20"/>
          <w:szCs w:val="20"/>
        </w:rPr>
        <w:t>. Given the reply from RAN4, the DL-to-UL and UL-to-DL switching time is within one OFDM symbol.  This implies all the LTE special subframe configurations can be supported in NB-IoT. However, how to use the special subframes needs to be further discussed.</w:t>
      </w:r>
    </w:p>
    <w:p w14:paraId="65983900" w14:textId="5F0326BE" w:rsidR="00803763" w:rsidRPr="00727050" w:rsidRDefault="00803763" w:rsidP="00803763">
      <w:pPr>
        <w:jc w:val="both"/>
        <w:rPr>
          <w:rFonts w:ascii="Times New Roman" w:hAnsi="Times New Roman" w:cs="Times New Roman"/>
          <w:sz w:val="20"/>
          <w:szCs w:val="20"/>
          <w:lang w:val="en-GB"/>
        </w:rPr>
      </w:pPr>
      <w:bookmarkStart w:id="5" w:name="Proposal_3"/>
      <w:r w:rsidRPr="00727050">
        <w:rPr>
          <w:rFonts w:ascii="Times New Roman" w:hAnsi="Times New Roman" w:cs="Times New Roman"/>
          <w:b/>
          <w:i/>
          <w:sz w:val="20"/>
          <w:szCs w:val="20"/>
          <w:lang w:val="en-GB"/>
        </w:rPr>
        <w:lastRenderedPageBreak/>
        <w:t xml:space="preserve">Proposal </w:t>
      </w:r>
      <w:r w:rsidR="002A2D3D" w:rsidRPr="00727050">
        <w:rPr>
          <w:rFonts w:ascii="Times New Roman" w:hAnsi="Times New Roman" w:cs="Times New Roman"/>
          <w:b/>
          <w:i/>
          <w:sz w:val="20"/>
          <w:szCs w:val="20"/>
          <w:lang w:val="en-GB"/>
        </w:rPr>
        <w:t>3</w:t>
      </w:r>
      <w:r w:rsidRPr="00727050">
        <w:rPr>
          <w:rFonts w:ascii="Times New Roman" w:hAnsi="Times New Roman" w:cs="Times New Roman"/>
          <w:b/>
          <w:i/>
          <w:sz w:val="20"/>
          <w:szCs w:val="20"/>
          <w:lang w:val="en-GB"/>
        </w:rPr>
        <w:t>: Confirm working assumption that “TDD NB-IoT will support all LTE special subframe configurations”.</w:t>
      </w:r>
    </w:p>
    <w:bookmarkEnd w:id="5"/>
    <w:p w14:paraId="60BFBED5" w14:textId="104B3526" w:rsidR="00F259B6" w:rsidRPr="00727050" w:rsidRDefault="006A3899" w:rsidP="006A3899">
      <w:pPr>
        <w:jc w:val="both"/>
        <w:rPr>
          <w:rFonts w:ascii="Times New Roman" w:hAnsi="Times New Roman" w:cs="Times New Roman"/>
          <w:sz w:val="20"/>
          <w:szCs w:val="20"/>
        </w:rPr>
      </w:pPr>
      <w:r w:rsidRPr="00727050">
        <w:rPr>
          <w:rFonts w:ascii="Times New Roman" w:hAnsi="Times New Roman" w:cs="Times New Roman"/>
          <w:sz w:val="20"/>
          <w:szCs w:val="20"/>
        </w:rPr>
        <w:t xml:space="preserve">In </w:t>
      </w:r>
      <w:r w:rsidR="00A03446" w:rsidRPr="00727050">
        <w:rPr>
          <w:rFonts w:ascii="Times New Roman" w:hAnsi="Times New Roman" w:cs="Times New Roman"/>
          <w:sz w:val="20"/>
          <w:szCs w:val="20"/>
        </w:rPr>
        <w:t>[8</w:t>
      </w:r>
      <w:r w:rsidRPr="00727050">
        <w:rPr>
          <w:rFonts w:ascii="Times New Roman" w:hAnsi="Times New Roman" w:cs="Times New Roman"/>
          <w:sz w:val="20"/>
          <w:szCs w:val="20"/>
        </w:rPr>
        <w:t xml:space="preserve">], it was shown how the UL and DL capacity can slightly be increased when the available resources in UpPTS and DwPTS are </w:t>
      </w:r>
      <w:r w:rsidR="00C92520" w:rsidRPr="00727050">
        <w:rPr>
          <w:rFonts w:ascii="Times New Roman" w:hAnsi="Times New Roman" w:cs="Times New Roman"/>
          <w:sz w:val="20"/>
          <w:szCs w:val="20"/>
        </w:rPr>
        <w:t>utiliz</w:t>
      </w:r>
      <w:r w:rsidRPr="00727050">
        <w:rPr>
          <w:rFonts w:ascii="Times New Roman" w:hAnsi="Times New Roman" w:cs="Times New Roman"/>
          <w:sz w:val="20"/>
          <w:szCs w:val="20"/>
        </w:rPr>
        <w:t>ed.</w:t>
      </w:r>
      <w:r w:rsidR="00F259B6" w:rsidRPr="00727050">
        <w:rPr>
          <w:rFonts w:ascii="Times New Roman" w:hAnsi="Times New Roman" w:cs="Times New Roman"/>
          <w:sz w:val="20"/>
          <w:szCs w:val="20"/>
        </w:rPr>
        <w:t xml:space="preserve"> Nonetheless, and contrarily to a conventional LTE system, NB-IoT transmissions can make use of a large number of repetitions and variable Resource Unit (RU) lengths, reason why any transmission to be performed over UpPTS and DwPTS cannot be applied in the same way </w:t>
      </w:r>
      <w:r w:rsidR="003D7D2B" w:rsidRPr="00727050">
        <w:rPr>
          <w:rFonts w:ascii="Times New Roman" w:hAnsi="Times New Roman" w:cs="Times New Roman"/>
          <w:sz w:val="20"/>
          <w:szCs w:val="20"/>
        </w:rPr>
        <w:t xml:space="preserve">it is done </w:t>
      </w:r>
      <w:r w:rsidR="00F259B6" w:rsidRPr="00727050">
        <w:rPr>
          <w:rFonts w:ascii="Times New Roman" w:hAnsi="Times New Roman" w:cs="Times New Roman"/>
          <w:sz w:val="20"/>
          <w:szCs w:val="20"/>
        </w:rPr>
        <w:t>for NB-IoT.</w:t>
      </w:r>
    </w:p>
    <w:p w14:paraId="67B1A235" w14:textId="79A09B2B" w:rsidR="00627782" w:rsidRPr="00727050" w:rsidRDefault="003D7D2B" w:rsidP="006A3899">
      <w:pPr>
        <w:jc w:val="both"/>
        <w:rPr>
          <w:rFonts w:ascii="Times New Roman" w:hAnsi="Times New Roman" w:cs="Times New Roman"/>
          <w:sz w:val="20"/>
          <w:szCs w:val="20"/>
        </w:rPr>
      </w:pPr>
      <w:r w:rsidRPr="00727050">
        <w:rPr>
          <w:rFonts w:ascii="Times New Roman" w:hAnsi="Times New Roman" w:cs="Times New Roman"/>
          <w:sz w:val="20"/>
          <w:szCs w:val="20"/>
        </w:rPr>
        <w:t>For example, t</w:t>
      </w:r>
      <w:r w:rsidR="00627782" w:rsidRPr="00727050">
        <w:rPr>
          <w:rFonts w:ascii="Times New Roman" w:hAnsi="Times New Roman" w:cs="Times New Roman"/>
          <w:sz w:val="20"/>
          <w:szCs w:val="20"/>
        </w:rPr>
        <w:t xml:space="preserve">he usage of DwPTS in NB-IoT TDD can be envisioned to </w:t>
      </w:r>
      <w:r w:rsidR="00A57DFA" w:rsidRPr="00727050">
        <w:rPr>
          <w:rFonts w:ascii="Times New Roman" w:hAnsi="Times New Roman" w:cs="Times New Roman"/>
          <w:sz w:val="20"/>
          <w:szCs w:val="20"/>
        </w:rPr>
        <w:t>consider</w:t>
      </w:r>
      <w:r w:rsidR="00627782" w:rsidRPr="00727050">
        <w:rPr>
          <w:rFonts w:ascii="Times New Roman" w:hAnsi="Times New Roman" w:cs="Times New Roman"/>
          <w:sz w:val="20"/>
          <w:szCs w:val="20"/>
        </w:rPr>
        <w:t xml:space="preserve"> the following approaches:</w:t>
      </w:r>
    </w:p>
    <w:p w14:paraId="0B987D2D" w14:textId="6735D24C" w:rsidR="006C5134" w:rsidRPr="00727050" w:rsidRDefault="00486ADF" w:rsidP="00185920">
      <w:pPr>
        <w:pStyle w:val="ListParagraph"/>
        <w:numPr>
          <w:ilvl w:val="0"/>
          <w:numId w:val="15"/>
        </w:numPr>
        <w:jc w:val="both"/>
        <w:rPr>
          <w:rFonts w:ascii="Times New Roman" w:hAnsi="Times New Roman" w:cs="Times New Roman"/>
          <w:b/>
          <w:i/>
          <w:sz w:val="20"/>
          <w:szCs w:val="20"/>
        </w:rPr>
      </w:pPr>
      <w:r w:rsidRPr="00727050">
        <w:rPr>
          <w:rFonts w:ascii="Times New Roman" w:hAnsi="Times New Roman" w:cs="Times New Roman"/>
          <w:b/>
          <w:sz w:val="20"/>
          <w:szCs w:val="20"/>
        </w:rPr>
        <w:t>Repeating OFDM symbols transmitted in the DL subframes over the OFDM symbols of DwPTS:</w:t>
      </w:r>
      <w:r w:rsidRPr="00727050">
        <w:rPr>
          <w:rFonts w:ascii="Times New Roman" w:hAnsi="Times New Roman" w:cs="Times New Roman"/>
          <w:sz w:val="20"/>
          <w:szCs w:val="20"/>
        </w:rPr>
        <w:t xml:space="preserve"> A base station can use OFDM symbols in the DwPTS to repeat in a predetermined manner some of the OFDM symbols transmitted in either an immediately preceding downlink subframe, or in a succeeding downlink subframe.  The symbols repeated in the special subframe can be coherently combined at the receiver with corresponding symbols transmitted in a downlink subframe to improve decoding performance and reduce the Block error Rate (BLER), which will increase system capacity.</w:t>
      </w:r>
    </w:p>
    <w:p w14:paraId="1691A7C9" w14:textId="126BB624" w:rsidR="00486ADF" w:rsidRPr="00727050" w:rsidRDefault="00486ADF" w:rsidP="00185920">
      <w:pPr>
        <w:pStyle w:val="ListParagraph"/>
        <w:numPr>
          <w:ilvl w:val="0"/>
          <w:numId w:val="15"/>
        </w:numPr>
        <w:jc w:val="both"/>
        <w:rPr>
          <w:rFonts w:ascii="Times New Roman" w:hAnsi="Times New Roman" w:cs="Times New Roman"/>
          <w:b/>
          <w:sz w:val="20"/>
          <w:szCs w:val="20"/>
        </w:rPr>
      </w:pPr>
      <w:r w:rsidRPr="00727050">
        <w:rPr>
          <w:rFonts w:ascii="Times New Roman" w:hAnsi="Times New Roman" w:cs="Times New Roman"/>
          <w:b/>
          <w:sz w:val="20"/>
          <w:szCs w:val="20"/>
        </w:rPr>
        <w:t>Using the OFDM symbols available for the DwPTS as part of the RU</w:t>
      </w:r>
      <w:r w:rsidR="005E715C" w:rsidRPr="00727050">
        <w:rPr>
          <w:rFonts w:ascii="Times New Roman" w:hAnsi="Times New Roman" w:cs="Times New Roman"/>
          <w:b/>
          <w:sz w:val="20"/>
          <w:szCs w:val="20"/>
        </w:rPr>
        <w:t>,</w:t>
      </w:r>
      <w:r w:rsidR="00E561CA" w:rsidRPr="00727050">
        <w:rPr>
          <w:rFonts w:ascii="Times New Roman" w:hAnsi="Times New Roman" w:cs="Times New Roman"/>
          <w:b/>
          <w:sz w:val="20"/>
          <w:szCs w:val="20"/>
        </w:rPr>
        <w:t xml:space="preserve"> </w:t>
      </w:r>
      <w:r w:rsidR="005E715C" w:rsidRPr="00727050">
        <w:rPr>
          <w:rFonts w:ascii="Times New Roman" w:hAnsi="Times New Roman" w:cs="Times New Roman"/>
          <w:b/>
          <w:sz w:val="20"/>
          <w:szCs w:val="20"/>
        </w:rPr>
        <w:t>accord</w:t>
      </w:r>
      <w:r w:rsidR="00E561CA" w:rsidRPr="00727050">
        <w:rPr>
          <w:rFonts w:ascii="Times New Roman" w:hAnsi="Times New Roman" w:cs="Times New Roman"/>
          <w:b/>
          <w:sz w:val="20"/>
          <w:szCs w:val="20"/>
        </w:rPr>
        <w:t>ing the following cases</w:t>
      </w:r>
      <w:r w:rsidRPr="00727050">
        <w:rPr>
          <w:rFonts w:ascii="Times New Roman" w:hAnsi="Times New Roman" w:cs="Times New Roman"/>
          <w:b/>
          <w:sz w:val="20"/>
          <w:szCs w:val="20"/>
        </w:rPr>
        <w:t>:</w:t>
      </w:r>
    </w:p>
    <w:p w14:paraId="78B5B94C" w14:textId="1FC540B5" w:rsidR="00505E98" w:rsidRPr="00727050" w:rsidRDefault="00505E98" w:rsidP="00185920">
      <w:pPr>
        <w:pStyle w:val="ListParagraph"/>
        <w:numPr>
          <w:ilvl w:val="1"/>
          <w:numId w:val="15"/>
        </w:numPr>
        <w:jc w:val="both"/>
        <w:rPr>
          <w:rFonts w:ascii="Times New Roman" w:hAnsi="Times New Roman" w:cs="Times New Roman"/>
          <w:sz w:val="20"/>
          <w:szCs w:val="20"/>
        </w:rPr>
      </w:pPr>
      <w:r w:rsidRPr="00727050">
        <w:rPr>
          <w:rFonts w:ascii="Times New Roman" w:hAnsi="Times New Roman" w:cs="Times New Roman"/>
          <w:sz w:val="20"/>
          <w:szCs w:val="20"/>
        </w:rPr>
        <w:t xml:space="preserve">When </w:t>
      </w:r>
      <w:r w:rsidR="005E715C" w:rsidRPr="00727050">
        <w:rPr>
          <w:rFonts w:ascii="Times New Roman" w:hAnsi="Times New Roman" w:cs="Times New Roman"/>
          <w:sz w:val="20"/>
          <w:szCs w:val="20"/>
        </w:rPr>
        <w:t>the</w:t>
      </w:r>
      <w:r w:rsidRPr="00727050">
        <w:rPr>
          <w:rFonts w:ascii="Times New Roman" w:hAnsi="Times New Roman" w:cs="Times New Roman"/>
          <w:sz w:val="20"/>
          <w:szCs w:val="20"/>
        </w:rPr>
        <w:t xml:space="preserve"> number of OFDM symbols available for the DwPTS</w:t>
      </w:r>
      <w:r w:rsidR="005E715C" w:rsidRPr="00727050">
        <w:rPr>
          <w:rFonts w:ascii="Times New Roman" w:hAnsi="Times New Roman" w:cs="Times New Roman"/>
          <w:sz w:val="20"/>
          <w:szCs w:val="20"/>
        </w:rPr>
        <w:t xml:space="preserve"> is sufficiently large</w:t>
      </w:r>
      <w:r w:rsidRPr="00727050">
        <w:rPr>
          <w:rFonts w:ascii="Times New Roman" w:hAnsi="Times New Roman" w:cs="Times New Roman"/>
          <w:sz w:val="20"/>
          <w:szCs w:val="20"/>
        </w:rPr>
        <w:t xml:space="preserve">: </w:t>
      </w:r>
      <w:r w:rsidR="00E561CA" w:rsidRPr="00727050">
        <w:rPr>
          <w:rFonts w:ascii="Times New Roman" w:hAnsi="Times New Roman" w:cs="Times New Roman"/>
          <w:sz w:val="20"/>
          <w:szCs w:val="20"/>
        </w:rPr>
        <w:t>At the moment</w:t>
      </w:r>
      <w:r w:rsidRPr="00727050">
        <w:rPr>
          <w:rFonts w:ascii="Times New Roman" w:hAnsi="Times New Roman" w:cs="Times New Roman"/>
          <w:sz w:val="20"/>
          <w:szCs w:val="20"/>
        </w:rPr>
        <w:t xml:space="preserve"> a TBS is </w:t>
      </w:r>
      <w:r w:rsidR="006C5134" w:rsidRPr="00727050">
        <w:rPr>
          <w:rFonts w:ascii="Times New Roman" w:hAnsi="Times New Roman" w:cs="Times New Roman"/>
          <w:sz w:val="20"/>
          <w:szCs w:val="20"/>
        </w:rPr>
        <w:t xml:space="preserve">going to be </w:t>
      </w:r>
      <w:r w:rsidRPr="00727050">
        <w:rPr>
          <w:rFonts w:ascii="Times New Roman" w:hAnsi="Times New Roman" w:cs="Times New Roman"/>
          <w:sz w:val="20"/>
          <w:szCs w:val="20"/>
        </w:rPr>
        <w:t>mapped over a number of RU</w:t>
      </w:r>
      <w:r w:rsidR="00EA3C2A" w:rsidRPr="00727050">
        <w:rPr>
          <w:rFonts w:ascii="Times New Roman" w:hAnsi="Times New Roman" w:cs="Times New Roman"/>
          <w:sz w:val="20"/>
          <w:szCs w:val="20"/>
        </w:rPr>
        <w:t>s</w:t>
      </w:r>
      <w:r w:rsidRPr="00727050">
        <w:rPr>
          <w:rFonts w:ascii="Times New Roman" w:hAnsi="Times New Roman" w:cs="Times New Roman"/>
          <w:sz w:val="20"/>
          <w:szCs w:val="20"/>
        </w:rPr>
        <w:t xml:space="preserve"> (one or more), </w:t>
      </w:r>
      <w:r w:rsidR="006C5134" w:rsidRPr="00727050">
        <w:rPr>
          <w:rFonts w:ascii="Times New Roman" w:hAnsi="Times New Roman" w:cs="Times New Roman"/>
          <w:sz w:val="20"/>
          <w:szCs w:val="20"/>
        </w:rPr>
        <w:t>and</w:t>
      </w:r>
      <w:r w:rsidRPr="00727050">
        <w:rPr>
          <w:rFonts w:ascii="Times New Roman" w:hAnsi="Times New Roman" w:cs="Times New Roman"/>
          <w:sz w:val="20"/>
          <w:szCs w:val="20"/>
        </w:rPr>
        <w:t xml:space="preserve"> the number of OFDM symbols available for the DwPTS </w:t>
      </w:r>
      <w:r w:rsidR="00E62451" w:rsidRPr="00727050">
        <w:rPr>
          <w:rFonts w:ascii="Times New Roman" w:hAnsi="Times New Roman" w:cs="Times New Roman"/>
          <w:sz w:val="20"/>
          <w:szCs w:val="20"/>
        </w:rPr>
        <w:t xml:space="preserve">is larger than </w:t>
      </w:r>
      <w:r w:rsidRPr="00727050">
        <w:rPr>
          <w:rFonts w:ascii="Times New Roman" w:hAnsi="Times New Roman" w:cs="Times New Roman"/>
          <w:sz w:val="20"/>
          <w:szCs w:val="20"/>
        </w:rPr>
        <w:t xml:space="preserve">a </w:t>
      </w:r>
      <w:r w:rsidR="00E62451" w:rsidRPr="00727050">
        <w:rPr>
          <w:rFonts w:ascii="Times New Roman" w:hAnsi="Times New Roman" w:cs="Times New Roman"/>
          <w:sz w:val="20"/>
          <w:szCs w:val="20"/>
        </w:rPr>
        <w:t xml:space="preserve">given </w:t>
      </w:r>
      <w:r w:rsidRPr="00727050">
        <w:rPr>
          <w:rFonts w:ascii="Times New Roman" w:hAnsi="Times New Roman" w:cs="Times New Roman"/>
          <w:sz w:val="20"/>
          <w:szCs w:val="20"/>
        </w:rPr>
        <w:t>threshold, the special subframe can be counted as part of a resource unit and rate matching is performed using the available OFDM symbols in the DwPTS</w:t>
      </w:r>
      <w:r w:rsidR="00184F09" w:rsidRPr="00727050">
        <w:rPr>
          <w:rFonts w:ascii="Times New Roman" w:hAnsi="Times New Roman" w:cs="Times New Roman"/>
          <w:sz w:val="20"/>
          <w:szCs w:val="20"/>
        </w:rPr>
        <w:t>. This i</w:t>
      </w:r>
      <w:r w:rsidR="00E62451" w:rsidRPr="00727050">
        <w:rPr>
          <w:rFonts w:ascii="Times New Roman" w:hAnsi="Times New Roman" w:cs="Times New Roman"/>
          <w:sz w:val="20"/>
          <w:szCs w:val="20"/>
        </w:rPr>
        <w:t xml:space="preserve">s illustrated in Figure </w:t>
      </w:r>
      <w:r w:rsidR="002A2D3D" w:rsidRPr="00727050">
        <w:rPr>
          <w:rFonts w:ascii="Times New Roman" w:hAnsi="Times New Roman" w:cs="Times New Roman"/>
          <w:sz w:val="20"/>
          <w:szCs w:val="20"/>
        </w:rPr>
        <w:t>3</w:t>
      </w:r>
      <w:r w:rsidR="00184F09" w:rsidRPr="00727050">
        <w:rPr>
          <w:rFonts w:ascii="Times New Roman" w:hAnsi="Times New Roman" w:cs="Times New Roman"/>
          <w:sz w:val="20"/>
          <w:szCs w:val="20"/>
        </w:rPr>
        <w:t xml:space="preserve"> when a TB is mapped to two resource units (RU)</w:t>
      </w:r>
      <w:r w:rsidR="00E62451" w:rsidRPr="00727050">
        <w:rPr>
          <w:rFonts w:ascii="Times New Roman" w:hAnsi="Times New Roman" w:cs="Times New Roman"/>
          <w:sz w:val="20"/>
          <w:szCs w:val="20"/>
        </w:rPr>
        <w:t>.</w:t>
      </w:r>
    </w:p>
    <w:p w14:paraId="24A7EE29" w14:textId="12B81919"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DB470E9" wp14:editId="46A9F0D7">
            <wp:extent cx="2915728" cy="8018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0588" cy="811412"/>
                    </a:xfrm>
                    <a:prstGeom prst="rect">
                      <a:avLst/>
                    </a:prstGeom>
                    <a:noFill/>
                    <a:ln>
                      <a:noFill/>
                    </a:ln>
                  </pic:spPr>
                </pic:pic>
              </a:graphicData>
            </a:graphic>
          </wp:inline>
        </w:drawing>
      </w:r>
    </w:p>
    <w:p w14:paraId="28075A48" w14:textId="38194703" w:rsidR="00184F09" w:rsidRPr="004B19F7" w:rsidRDefault="00184F09" w:rsidP="005E715C">
      <w:pPr>
        <w:pStyle w:val="Caption"/>
        <w:ind w:left="1080" w:firstLine="567"/>
        <w:jc w:val="center"/>
        <w:rPr>
          <w:b/>
        </w:rPr>
      </w:pPr>
      <w:r w:rsidRPr="004B19F7">
        <w:rPr>
          <w:b/>
        </w:rPr>
        <w:t xml:space="preserve">Figure </w:t>
      </w:r>
      <w:r w:rsidR="002A2D3D">
        <w:rPr>
          <w:b/>
        </w:rPr>
        <w:t>3</w:t>
      </w:r>
      <w:r w:rsidRPr="004B19F7">
        <w:rPr>
          <w:b/>
        </w:rPr>
        <w:t xml:space="preserve"> </w:t>
      </w:r>
      <w:r w:rsidR="00BA7E5E" w:rsidRPr="004B19F7">
        <w:rPr>
          <w:b/>
        </w:rPr>
        <w:t xml:space="preserve">Usage of special subframe (S) for DL, when the number of symbols in a DwPTS is larger than a given threshold </w:t>
      </w:r>
    </w:p>
    <w:p w14:paraId="399BCA1F" w14:textId="1C90FFBC" w:rsidR="00627782" w:rsidRPr="004B19F7" w:rsidRDefault="005E715C" w:rsidP="00185920">
      <w:pPr>
        <w:pStyle w:val="ListParagraph"/>
        <w:numPr>
          <w:ilvl w:val="1"/>
          <w:numId w:val="15"/>
        </w:numPr>
        <w:jc w:val="both"/>
        <w:rPr>
          <w:rFonts w:ascii="Times New Roman" w:hAnsi="Times New Roman" w:cs="Times New Roman"/>
          <w:sz w:val="20"/>
          <w:szCs w:val="20"/>
        </w:rPr>
      </w:pPr>
      <w:r w:rsidRPr="004B19F7">
        <w:rPr>
          <w:rFonts w:ascii="Times New Roman" w:hAnsi="Times New Roman" w:cs="Times New Roman"/>
          <w:sz w:val="20"/>
          <w:szCs w:val="20"/>
        </w:rPr>
        <w:t>When the number of OFDM symbols available for the DwPTS is small</w:t>
      </w:r>
      <w:r w:rsidR="00627782" w:rsidRPr="004B19F7">
        <w:rPr>
          <w:rFonts w:ascii="Times New Roman" w:hAnsi="Times New Roman" w:cs="Times New Roman"/>
          <w:sz w:val="20"/>
          <w:szCs w:val="20"/>
        </w:rPr>
        <w:t>:</w:t>
      </w:r>
      <w:r w:rsidR="00E62451" w:rsidRPr="004B19F7">
        <w:rPr>
          <w:rFonts w:ascii="Times New Roman" w:hAnsi="Times New Roman" w:cs="Times New Roman"/>
          <w:sz w:val="20"/>
          <w:szCs w:val="20"/>
        </w:rPr>
        <w:t xml:space="preserve"> </w:t>
      </w:r>
      <w:r w:rsidR="00E561CA" w:rsidRPr="004B19F7">
        <w:rPr>
          <w:rFonts w:ascii="Times New Roman" w:hAnsi="Times New Roman" w:cs="Times New Roman"/>
          <w:sz w:val="20"/>
          <w:szCs w:val="20"/>
        </w:rPr>
        <w:t>At the moment</w:t>
      </w:r>
      <w:r w:rsidR="00E62451" w:rsidRPr="004B19F7">
        <w:rPr>
          <w:rFonts w:ascii="Times New Roman" w:hAnsi="Times New Roman" w:cs="Times New Roman"/>
          <w:sz w:val="20"/>
          <w:szCs w:val="20"/>
        </w:rPr>
        <w:t xml:space="preserve"> a TBS is </w:t>
      </w:r>
      <w:r w:rsidR="006C5134" w:rsidRPr="004B19F7">
        <w:rPr>
          <w:rFonts w:ascii="Times New Roman" w:hAnsi="Times New Roman" w:cs="Times New Roman"/>
          <w:sz w:val="20"/>
          <w:szCs w:val="20"/>
        </w:rPr>
        <w:t xml:space="preserve">going to be </w:t>
      </w:r>
      <w:r w:rsidR="00E62451" w:rsidRPr="004B19F7">
        <w:rPr>
          <w:rFonts w:ascii="Times New Roman" w:hAnsi="Times New Roman" w:cs="Times New Roman"/>
          <w:sz w:val="20"/>
          <w:szCs w:val="20"/>
        </w:rPr>
        <w:t>mapped over a number of RU</w:t>
      </w:r>
      <w:r w:rsidR="00EA3C2A" w:rsidRPr="004B19F7">
        <w:rPr>
          <w:rFonts w:ascii="Times New Roman" w:hAnsi="Times New Roman" w:cs="Times New Roman"/>
          <w:sz w:val="20"/>
          <w:szCs w:val="20"/>
        </w:rPr>
        <w:t>s</w:t>
      </w:r>
      <w:r w:rsidR="00E62451" w:rsidRPr="004B19F7">
        <w:rPr>
          <w:rFonts w:ascii="Times New Roman" w:hAnsi="Times New Roman" w:cs="Times New Roman"/>
          <w:sz w:val="20"/>
          <w:szCs w:val="20"/>
        </w:rPr>
        <w:t xml:space="preserve"> (one or more), </w:t>
      </w:r>
      <w:r w:rsidR="006C5134" w:rsidRPr="004B19F7">
        <w:rPr>
          <w:rFonts w:ascii="Times New Roman" w:hAnsi="Times New Roman" w:cs="Times New Roman"/>
          <w:sz w:val="20"/>
          <w:szCs w:val="20"/>
        </w:rPr>
        <w:t>and</w:t>
      </w:r>
      <w:r w:rsidR="00E62451" w:rsidRPr="004B19F7">
        <w:rPr>
          <w:rFonts w:ascii="Times New Roman" w:hAnsi="Times New Roman" w:cs="Times New Roman"/>
          <w:sz w:val="20"/>
          <w:szCs w:val="20"/>
        </w:rPr>
        <w:t xml:space="preserve"> the number of OFDM symbols available for the DwPTS </w:t>
      </w:r>
      <w:r w:rsidR="006C5134" w:rsidRPr="004B19F7">
        <w:rPr>
          <w:rFonts w:ascii="Times New Roman" w:hAnsi="Times New Roman" w:cs="Times New Roman"/>
          <w:sz w:val="20"/>
          <w:szCs w:val="20"/>
        </w:rPr>
        <w:t xml:space="preserve">is </w:t>
      </w:r>
      <w:r w:rsidR="00E62451" w:rsidRPr="004B19F7">
        <w:rPr>
          <w:rFonts w:ascii="Times New Roman" w:hAnsi="Times New Roman" w:cs="Times New Roman"/>
          <w:sz w:val="20"/>
          <w:szCs w:val="20"/>
        </w:rPr>
        <w:t xml:space="preserve">smaller than a given threshold, the special subframe may be counted as part of a resource unit </w:t>
      </w:r>
      <w:r w:rsidR="006C4E75" w:rsidRPr="004B19F7">
        <w:rPr>
          <w:rFonts w:ascii="Times New Roman" w:hAnsi="Times New Roman" w:cs="Times New Roman"/>
          <w:sz w:val="20"/>
          <w:szCs w:val="20"/>
        </w:rPr>
        <w:t xml:space="preserve">(i.e., </w:t>
      </w:r>
      <w:r w:rsidR="00E62451" w:rsidRPr="004B19F7">
        <w:rPr>
          <w:rFonts w:ascii="Times New Roman" w:hAnsi="Times New Roman" w:cs="Times New Roman"/>
          <w:sz w:val="20"/>
          <w:szCs w:val="20"/>
        </w:rPr>
        <w:t xml:space="preserve">being </w:t>
      </w:r>
      <w:r w:rsidR="008C7813" w:rsidRPr="004B19F7">
        <w:rPr>
          <w:rFonts w:ascii="Times New Roman" w:hAnsi="Times New Roman" w:cs="Times New Roman"/>
          <w:sz w:val="20"/>
          <w:szCs w:val="20"/>
        </w:rPr>
        <w:t xml:space="preserve">DwPTS </w:t>
      </w:r>
      <w:r w:rsidR="006C4E75" w:rsidRPr="004B19F7">
        <w:rPr>
          <w:rFonts w:ascii="Times New Roman" w:hAnsi="Times New Roman" w:cs="Times New Roman"/>
          <w:sz w:val="20"/>
          <w:szCs w:val="20"/>
        </w:rPr>
        <w:t xml:space="preserve">a supplementary </w:t>
      </w:r>
      <w:r w:rsidR="00E62451" w:rsidRPr="004B19F7">
        <w:rPr>
          <w:rFonts w:ascii="Times New Roman" w:hAnsi="Times New Roman" w:cs="Times New Roman"/>
          <w:sz w:val="20"/>
          <w:szCs w:val="20"/>
        </w:rPr>
        <w:t xml:space="preserve">part of </w:t>
      </w:r>
      <w:r w:rsidR="006C4E75" w:rsidRPr="004B19F7">
        <w:rPr>
          <w:rFonts w:ascii="Times New Roman" w:hAnsi="Times New Roman" w:cs="Times New Roman"/>
          <w:sz w:val="20"/>
          <w:szCs w:val="20"/>
        </w:rPr>
        <w:t>the</w:t>
      </w:r>
      <w:r w:rsidR="00E62451" w:rsidRPr="004B19F7">
        <w:rPr>
          <w:rFonts w:ascii="Times New Roman" w:hAnsi="Times New Roman" w:cs="Times New Roman"/>
          <w:sz w:val="20"/>
          <w:szCs w:val="20"/>
        </w:rPr>
        <w:t xml:space="preserve"> subframes</w:t>
      </w:r>
      <w:r w:rsidR="006C4E75" w:rsidRPr="004B19F7">
        <w:rPr>
          <w:rFonts w:ascii="Times New Roman" w:hAnsi="Times New Roman" w:cs="Times New Roman"/>
          <w:sz w:val="20"/>
          <w:szCs w:val="20"/>
        </w:rPr>
        <w:t xml:space="preserve"> over which the TBS is usually mapped)</w:t>
      </w:r>
      <w:r w:rsidR="00E62451" w:rsidRPr="004B19F7">
        <w:rPr>
          <w:rFonts w:ascii="Times New Roman" w:hAnsi="Times New Roman" w:cs="Times New Roman"/>
          <w:sz w:val="20"/>
          <w:szCs w:val="20"/>
        </w:rPr>
        <w:t>, but the OFDM symbols in the special subframe are not used for rate matching</w:t>
      </w:r>
      <w:r w:rsidR="00184F09" w:rsidRPr="004B19F7">
        <w:rPr>
          <w:rFonts w:ascii="Times New Roman" w:hAnsi="Times New Roman" w:cs="Times New Roman"/>
          <w:sz w:val="20"/>
          <w:szCs w:val="20"/>
        </w:rPr>
        <w:t>.</w:t>
      </w:r>
      <w:r w:rsidR="00E62451" w:rsidRPr="004B19F7">
        <w:rPr>
          <w:rFonts w:ascii="Times New Roman" w:hAnsi="Times New Roman" w:cs="Times New Roman"/>
          <w:sz w:val="20"/>
          <w:szCs w:val="20"/>
        </w:rPr>
        <w:t xml:space="preserve"> </w:t>
      </w:r>
      <w:r w:rsidR="00184F09" w:rsidRPr="004B19F7">
        <w:rPr>
          <w:rFonts w:ascii="Times New Roman" w:hAnsi="Times New Roman" w:cs="Times New Roman"/>
          <w:sz w:val="20"/>
          <w:szCs w:val="20"/>
        </w:rPr>
        <w:t xml:space="preserve">This is illustrated in Figure </w:t>
      </w:r>
      <w:r w:rsidR="002A2D3D">
        <w:rPr>
          <w:rFonts w:ascii="Times New Roman" w:hAnsi="Times New Roman" w:cs="Times New Roman"/>
          <w:sz w:val="20"/>
          <w:szCs w:val="20"/>
        </w:rPr>
        <w:t>4</w:t>
      </w:r>
      <w:r w:rsidR="00184F09" w:rsidRPr="004B19F7">
        <w:rPr>
          <w:rFonts w:ascii="Times New Roman" w:hAnsi="Times New Roman" w:cs="Times New Roman"/>
          <w:sz w:val="20"/>
          <w:szCs w:val="20"/>
        </w:rPr>
        <w:t xml:space="preserve"> when a TB is mapped to two resource units (RU)</w:t>
      </w:r>
      <w:r w:rsidR="00E62451" w:rsidRPr="004B19F7">
        <w:rPr>
          <w:rFonts w:ascii="Times New Roman" w:hAnsi="Times New Roman" w:cs="Times New Roman"/>
          <w:sz w:val="20"/>
          <w:szCs w:val="20"/>
        </w:rPr>
        <w:t>.</w:t>
      </w:r>
    </w:p>
    <w:p w14:paraId="6D91315E" w14:textId="3A0660D3"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07A3B5C" wp14:editId="69C18759">
            <wp:extent cx="2919514" cy="106364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4819" cy="1072861"/>
                    </a:xfrm>
                    <a:prstGeom prst="rect">
                      <a:avLst/>
                    </a:prstGeom>
                    <a:noFill/>
                    <a:ln>
                      <a:noFill/>
                    </a:ln>
                  </pic:spPr>
                </pic:pic>
              </a:graphicData>
            </a:graphic>
          </wp:inline>
        </w:drawing>
      </w:r>
    </w:p>
    <w:p w14:paraId="3EA6B46B" w14:textId="0023EC53" w:rsidR="00684F85" w:rsidRPr="004B19F7" w:rsidRDefault="00BA7E5E" w:rsidP="005E715C">
      <w:pPr>
        <w:pStyle w:val="Caption"/>
        <w:ind w:left="720" w:firstLine="567"/>
        <w:jc w:val="center"/>
        <w:rPr>
          <w:rFonts w:ascii="Times New Roman" w:hAnsi="Times New Roman" w:cs="Times New Roman"/>
          <w:b/>
          <w:i/>
          <w:sz w:val="20"/>
          <w:szCs w:val="20"/>
        </w:rPr>
      </w:pPr>
      <w:r w:rsidRPr="004B19F7">
        <w:rPr>
          <w:b/>
        </w:rPr>
        <w:t xml:space="preserve">Figure </w:t>
      </w:r>
      <w:r w:rsidR="002A2D3D">
        <w:rPr>
          <w:b/>
        </w:rPr>
        <w:t>4</w:t>
      </w:r>
      <w:r w:rsidRPr="004B19F7">
        <w:rPr>
          <w:b/>
        </w:rPr>
        <w:t xml:space="preserve"> Usage of special subframe (S) for DL, when the number of symbols in a DwPTS is smaller than a given threshold </w:t>
      </w:r>
    </w:p>
    <w:p w14:paraId="2BBCBB71" w14:textId="4C5B2E87" w:rsidR="0083129C" w:rsidRPr="004B19F7" w:rsidRDefault="006C5134" w:rsidP="0083129C">
      <w:pPr>
        <w:jc w:val="both"/>
        <w:rPr>
          <w:rFonts w:ascii="Times New Roman" w:hAnsi="Times New Roman" w:cs="Times New Roman"/>
          <w:sz w:val="20"/>
          <w:szCs w:val="20"/>
        </w:rPr>
      </w:pPr>
      <w:r w:rsidRPr="004B19F7">
        <w:rPr>
          <w:rFonts w:ascii="Times New Roman" w:hAnsi="Times New Roman" w:cs="Times New Roman"/>
          <w:sz w:val="20"/>
          <w:szCs w:val="20"/>
        </w:rPr>
        <w:t xml:space="preserve">A similar approach as the one described above for DL can also </w:t>
      </w:r>
      <w:r w:rsidR="001301BC" w:rsidRPr="004B19F7">
        <w:rPr>
          <w:rFonts w:ascii="Times New Roman" w:hAnsi="Times New Roman" w:cs="Times New Roman"/>
          <w:sz w:val="20"/>
          <w:szCs w:val="20"/>
        </w:rPr>
        <w:t xml:space="preserve">be </w:t>
      </w:r>
      <w:r w:rsidRPr="004B19F7">
        <w:rPr>
          <w:rFonts w:ascii="Times New Roman" w:hAnsi="Times New Roman" w:cs="Times New Roman"/>
          <w:sz w:val="20"/>
          <w:szCs w:val="20"/>
        </w:rPr>
        <w:t xml:space="preserve">considered to be applied </w:t>
      </w:r>
      <w:r w:rsidR="00E561CA" w:rsidRPr="004B19F7">
        <w:rPr>
          <w:rFonts w:ascii="Times New Roman" w:hAnsi="Times New Roman" w:cs="Times New Roman"/>
          <w:sz w:val="20"/>
          <w:szCs w:val="20"/>
        </w:rPr>
        <w:t>for</w:t>
      </w:r>
      <w:r w:rsidRPr="004B19F7">
        <w:rPr>
          <w:rFonts w:ascii="Times New Roman" w:hAnsi="Times New Roman" w:cs="Times New Roman"/>
          <w:sz w:val="20"/>
          <w:szCs w:val="20"/>
        </w:rPr>
        <w:t xml:space="preserve"> UL</w:t>
      </w:r>
      <w:r w:rsidR="001301BC" w:rsidRPr="004B19F7">
        <w:rPr>
          <w:rFonts w:ascii="Times New Roman" w:hAnsi="Times New Roman" w:cs="Times New Roman"/>
          <w:sz w:val="20"/>
          <w:szCs w:val="20"/>
        </w:rPr>
        <w:t>,</w:t>
      </w:r>
      <w:r w:rsidRPr="004B19F7">
        <w:rPr>
          <w:rFonts w:ascii="Times New Roman" w:hAnsi="Times New Roman" w:cs="Times New Roman"/>
          <w:sz w:val="20"/>
          <w:szCs w:val="20"/>
        </w:rPr>
        <w:t xml:space="preserve"> </w:t>
      </w:r>
      <w:r w:rsidR="001301BC" w:rsidRPr="004B19F7">
        <w:rPr>
          <w:rFonts w:ascii="Times New Roman" w:hAnsi="Times New Roman" w:cs="Times New Roman"/>
          <w:sz w:val="20"/>
          <w:szCs w:val="20"/>
        </w:rPr>
        <w:t xml:space="preserve">by </w:t>
      </w:r>
      <w:r w:rsidRPr="004B19F7">
        <w:rPr>
          <w:rFonts w:ascii="Times New Roman" w:hAnsi="Times New Roman" w:cs="Times New Roman"/>
          <w:sz w:val="20"/>
          <w:szCs w:val="20"/>
        </w:rPr>
        <w:t xml:space="preserve">making use of </w:t>
      </w:r>
      <w:r w:rsidR="001301BC" w:rsidRPr="004B19F7">
        <w:rPr>
          <w:rFonts w:ascii="Times New Roman" w:hAnsi="Times New Roman" w:cs="Times New Roman"/>
          <w:sz w:val="20"/>
          <w:szCs w:val="20"/>
        </w:rPr>
        <w:t xml:space="preserve">the available symbols in </w:t>
      </w:r>
      <w:r w:rsidRPr="004B19F7">
        <w:rPr>
          <w:rFonts w:ascii="Times New Roman" w:hAnsi="Times New Roman" w:cs="Times New Roman"/>
          <w:sz w:val="20"/>
          <w:szCs w:val="20"/>
        </w:rPr>
        <w:t xml:space="preserve">UpPTS </w:t>
      </w:r>
      <w:r w:rsidR="001301BC" w:rsidRPr="004B19F7">
        <w:rPr>
          <w:rFonts w:ascii="Times New Roman" w:hAnsi="Times New Roman" w:cs="Times New Roman"/>
          <w:sz w:val="20"/>
          <w:szCs w:val="20"/>
        </w:rPr>
        <w:t xml:space="preserve">when possible </w:t>
      </w:r>
      <w:r w:rsidRPr="004B19F7">
        <w:rPr>
          <w:rFonts w:ascii="Times New Roman" w:hAnsi="Times New Roman" w:cs="Times New Roman"/>
          <w:sz w:val="20"/>
          <w:szCs w:val="20"/>
        </w:rPr>
        <w:t>for NPUSCH transmissions.</w:t>
      </w:r>
    </w:p>
    <w:p w14:paraId="4AAD6DAA" w14:textId="3C5A2039" w:rsidR="005E715C" w:rsidRPr="004B19F7" w:rsidRDefault="005E715C" w:rsidP="0083129C">
      <w:pPr>
        <w:jc w:val="both"/>
        <w:rPr>
          <w:rFonts w:ascii="Times New Roman" w:hAnsi="Times New Roman" w:cs="Times New Roman"/>
          <w:sz w:val="20"/>
          <w:szCs w:val="20"/>
        </w:rPr>
      </w:pPr>
      <w:r w:rsidRPr="004B19F7">
        <w:rPr>
          <w:rFonts w:ascii="Times New Roman" w:hAnsi="Times New Roman" w:cs="Times New Roman"/>
          <w:sz w:val="20"/>
          <w:szCs w:val="20"/>
        </w:rPr>
        <w:t xml:space="preserve">From the set of options </w:t>
      </w:r>
      <w:r w:rsidR="00F20158" w:rsidRPr="004B19F7">
        <w:rPr>
          <w:rFonts w:ascii="Times New Roman" w:hAnsi="Times New Roman" w:cs="Times New Roman"/>
          <w:sz w:val="20"/>
          <w:szCs w:val="20"/>
        </w:rPr>
        <w:t xml:space="preserve">described </w:t>
      </w:r>
      <w:r w:rsidRPr="004B19F7">
        <w:rPr>
          <w:rFonts w:ascii="Times New Roman" w:hAnsi="Times New Roman" w:cs="Times New Roman"/>
          <w:sz w:val="20"/>
          <w:szCs w:val="20"/>
        </w:rPr>
        <w:t xml:space="preserve">above, and being aware </w:t>
      </w:r>
      <w:r w:rsidR="00F20158" w:rsidRPr="004B19F7">
        <w:rPr>
          <w:rFonts w:ascii="Times New Roman" w:hAnsi="Times New Roman" w:cs="Times New Roman"/>
          <w:sz w:val="20"/>
          <w:szCs w:val="20"/>
        </w:rPr>
        <w:t>that the DwPTS count with more</w:t>
      </w:r>
      <w:r w:rsidRPr="004B19F7">
        <w:rPr>
          <w:rFonts w:ascii="Times New Roman" w:hAnsi="Times New Roman" w:cs="Times New Roman"/>
          <w:sz w:val="20"/>
          <w:szCs w:val="20"/>
        </w:rPr>
        <w:t xml:space="preserve"> symbols </w:t>
      </w:r>
      <w:r w:rsidR="00F20158" w:rsidRPr="004B19F7">
        <w:rPr>
          <w:rFonts w:ascii="Times New Roman" w:hAnsi="Times New Roman" w:cs="Times New Roman"/>
          <w:sz w:val="20"/>
          <w:szCs w:val="20"/>
        </w:rPr>
        <w:t xml:space="preserve">available </w:t>
      </w:r>
      <w:r w:rsidRPr="004B19F7">
        <w:rPr>
          <w:rFonts w:ascii="Times New Roman" w:hAnsi="Times New Roman" w:cs="Times New Roman"/>
          <w:sz w:val="20"/>
          <w:szCs w:val="20"/>
        </w:rPr>
        <w:t>than UpPTS</w:t>
      </w:r>
      <w:r w:rsidR="00EC1228" w:rsidRPr="004B19F7">
        <w:rPr>
          <w:rFonts w:ascii="Times New Roman" w:hAnsi="Times New Roman" w:cs="Times New Roman"/>
          <w:sz w:val="20"/>
          <w:szCs w:val="20"/>
        </w:rPr>
        <w:t>,</w:t>
      </w:r>
      <w:r w:rsidRPr="004B19F7">
        <w:rPr>
          <w:rFonts w:ascii="Times New Roman" w:hAnsi="Times New Roman" w:cs="Times New Roman"/>
          <w:sz w:val="20"/>
          <w:szCs w:val="20"/>
        </w:rPr>
        <w:t xml:space="preserve"> the following concrete proposals are made:</w:t>
      </w:r>
    </w:p>
    <w:p w14:paraId="7441325F" w14:textId="3FE87266" w:rsidR="005E715C" w:rsidRPr="002A2D3D" w:rsidRDefault="002A2D3D" w:rsidP="002A2D3D">
      <w:pPr>
        <w:jc w:val="both"/>
        <w:rPr>
          <w:rFonts w:ascii="Times New Roman" w:hAnsi="Times New Roman" w:cs="Times New Roman"/>
          <w:b/>
          <w:i/>
          <w:sz w:val="20"/>
          <w:szCs w:val="20"/>
        </w:rPr>
      </w:pPr>
      <w:bookmarkStart w:id="6" w:name="Proposal_4"/>
      <w:r>
        <w:rPr>
          <w:rFonts w:ascii="Times New Roman" w:hAnsi="Times New Roman" w:cs="Times New Roman"/>
          <w:b/>
          <w:bCs/>
          <w:i/>
          <w:sz w:val="20"/>
          <w:szCs w:val="20"/>
        </w:rPr>
        <w:t xml:space="preserve">Proposal 4: </w:t>
      </w:r>
      <w:r w:rsidR="005E715C" w:rsidRPr="002A2D3D">
        <w:rPr>
          <w:rFonts w:ascii="Times New Roman" w:hAnsi="Times New Roman" w:cs="Times New Roman"/>
          <w:b/>
          <w:bCs/>
          <w:i/>
          <w:sz w:val="20"/>
          <w:szCs w:val="20"/>
        </w:rPr>
        <w:t xml:space="preserve">Utilize </w:t>
      </w:r>
      <w:r w:rsidR="005E715C" w:rsidRPr="002A2D3D">
        <w:rPr>
          <w:rFonts w:ascii="Times New Roman" w:hAnsi="Times New Roman" w:cs="Times New Roman"/>
          <w:b/>
          <w:i/>
          <w:sz w:val="20"/>
          <w:szCs w:val="20"/>
        </w:rPr>
        <w:t xml:space="preserve">the OFDM symbols in the DwPTS as part of the RU along with a threshold to determine whether the special subframe can be counted as part of a resource unit and rate matching is performed using the available OFDM symbols in the DwPTS. </w:t>
      </w:r>
    </w:p>
    <w:p w14:paraId="3BBDD2D3" w14:textId="3F74885E" w:rsidR="006A3899" w:rsidRPr="002A2D3D" w:rsidRDefault="002A2D3D" w:rsidP="002A2D3D">
      <w:pPr>
        <w:jc w:val="both"/>
        <w:rPr>
          <w:rFonts w:ascii="Times New Roman" w:hAnsi="Times New Roman" w:cs="Times New Roman"/>
          <w:b/>
          <w:bCs/>
          <w:i/>
          <w:sz w:val="20"/>
        </w:rPr>
      </w:pPr>
      <w:bookmarkStart w:id="7" w:name="Proposal_5"/>
      <w:bookmarkEnd w:id="6"/>
      <w:r>
        <w:rPr>
          <w:rFonts w:ascii="Times New Roman" w:hAnsi="Times New Roman" w:cs="Times New Roman"/>
          <w:b/>
          <w:bCs/>
          <w:i/>
          <w:sz w:val="20"/>
        </w:rPr>
        <w:lastRenderedPageBreak/>
        <w:t xml:space="preserve">Proposal 5: </w:t>
      </w:r>
      <w:r w:rsidR="0083129C" w:rsidRPr="002A2D3D">
        <w:rPr>
          <w:rFonts w:ascii="Times New Roman" w:hAnsi="Times New Roman" w:cs="Times New Roman"/>
          <w:b/>
          <w:bCs/>
          <w:i/>
          <w:sz w:val="20"/>
        </w:rPr>
        <w:t xml:space="preserve">Utilize </w:t>
      </w:r>
      <w:r w:rsidR="0083129C" w:rsidRPr="002A2D3D">
        <w:rPr>
          <w:rFonts w:ascii="Times New Roman" w:hAnsi="Times New Roman" w:cs="Times New Roman"/>
          <w:b/>
          <w:i/>
          <w:sz w:val="20"/>
          <w:szCs w:val="20"/>
        </w:rPr>
        <w:t xml:space="preserve">the </w:t>
      </w:r>
      <w:r w:rsidR="005332D4" w:rsidRPr="002A2D3D">
        <w:rPr>
          <w:rFonts w:ascii="Times New Roman" w:hAnsi="Times New Roman" w:cs="Times New Roman"/>
          <w:b/>
          <w:i/>
          <w:sz w:val="20"/>
          <w:szCs w:val="20"/>
        </w:rPr>
        <w:t>SC-</w:t>
      </w:r>
      <w:r w:rsidR="0083129C" w:rsidRPr="002A2D3D">
        <w:rPr>
          <w:rFonts w:ascii="Times New Roman" w:hAnsi="Times New Roman" w:cs="Times New Roman"/>
          <w:b/>
          <w:i/>
          <w:sz w:val="20"/>
          <w:szCs w:val="20"/>
        </w:rPr>
        <w:t xml:space="preserve">FDM symbols in the </w:t>
      </w:r>
      <w:r w:rsidR="005332D4" w:rsidRPr="002A2D3D">
        <w:rPr>
          <w:rFonts w:ascii="Times New Roman" w:hAnsi="Times New Roman" w:cs="Times New Roman"/>
          <w:b/>
          <w:i/>
          <w:sz w:val="20"/>
          <w:szCs w:val="20"/>
        </w:rPr>
        <w:t>Up</w:t>
      </w:r>
      <w:r w:rsidR="0083129C" w:rsidRPr="002A2D3D">
        <w:rPr>
          <w:rFonts w:ascii="Times New Roman" w:hAnsi="Times New Roman" w:cs="Times New Roman"/>
          <w:b/>
          <w:i/>
          <w:sz w:val="20"/>
          <w:szCs w:val="20"/>
        </w:rPr>
        <w:t xml:space="preserve">PTS to repeat in a predetermined manner some of the </w:t>
      </w:r>
      <w:r w:rsidR="005332D4" w:rsidRPr="002A2D3D">
        <w:rPr>
          <w:rFonts w:ascii="Times New Roman" w:hAnsi="Times New Roman" w:cs="Times New Roman"/>
          <w:b/>
          <w:i/>
          <w:sz w:val="20"/>
          <w:szCs w:val="20"/>
        </w:rPr>
        <w:t>SC-</w:t>
      </w:r>
      <w:r w:rsidR="0083129C" w:rsidRPr="002A2D3D">
        <w:rPr>
          <w:rFonts w:ascii="Times New Roman" w:hAnsi="Times New Roman" w:cs="Times New Roman"/>
          <w:b/>
          <w:i/>
          <w:sz w:val="20"/>
          <w:szCs w:val="20"/>
        </w:rPr>
        <w:t xml:space="preserve">FDM symbols transmitted in either an immediately </w:t>
      </w:r>
      <w:r w:rsidR="005332D4" w:rsidRPr="002A2D3D">
        <w:rPr>
          <w:rFonts w:ascii="Times New Roman" w:hAnsi="Times New Roman" w:cs="Times New Roman"/>
          <w:b/>
          <w:i/>
          <w:sz w:val="20"/>
          <w:szCs w:val="20"/>
        </w:rPr>
        <w:t>succeeding up</w:t>
      </w:r>
      <w:r w:rsidR="0083129C" w:rsidRPr="002A2D3D">
        <w:rPr>
          <w:rFonts w:ascii="Times New Roman" w:hAnsi="Times New Roman" w:cs="Times New Roman"/>
          <w:b/>
          <w:i/>
          <w:sz w:val="20"/>
          <w:szCs w:val="20"/>
        </w:rPr>
        <w:t xml:space="preserve">link subframe, or in a </w:t>
      </w:r>
      <w:r w:rsidR="005332D4" w:rsidRPr="002A2D3D">
        <w:rPr>
          <w:rFonts w:ascii="Times New Roman" w:hAnsi="Times New Roman" w:cs="Times New Roman"/>
          <w:b/>
          <w:i/>
          <w:sz w:val="20"/>
          <w:szCs w:val="20"/>
        </w:rPr>
        <w:t>preceding</w:t>
      </w:r>
      <w:r w:rsidR="0083129C" w:rsidRPr="002A2D3D">
        <w:rPr>
          <w:rFonts w:ascii="Times New Roman" w:hAnsi="Times New Roman" w:cs="Times New Roman"/>
          <w:b/>
          <w:i/>
          <w:sz w:val="20"/>
          <w:szCs w:val="20"/>
        </w:rPr>
        <w:t xml:space="preserve"> </w:t>
      </w:r>
      <w:r w:rsidR="005332D4" w:rsidRPr="002A2D3D">
        <w:rPr>
          <w:rFonts w:ascii="Times New Roman" w:hAnsi="Times New Roman" w:cs="Times New Roman"/>
          <w:b/>
          <w:i/>
          <w:sz w:val="20"/>
          <w:szCs w:val="20"/>
        </w:rPr>
        <w:t>up</w:t>
      </w:r>
      <w:r w:rsidR="0083129C" w:rsidRPr="002A2D3D">
        <w:rPr>
          <w:rFonts w:ascii="Times New Roman" w:hAnsi="Times New Roman" w:cs="Times New Roman"/>
          <w:b/>
          <w:i/>
          <w:sz w:val="20"/>
          <w:szCs w:val="20"/>
        </w:rPr>
        <w:t>link subframe.</w:t>
      </w:r>
      <w:r w:rsidR="005E715C" w:rsidRPr="002A2D3D">
        <w:rPr>
          <w:rFonts w:ascii="Times New Roman" w:hAnsi="Times New Roman" w:cs="Times New Roman"/>
          <w:sz w:val="20"/>
        </w:rPr>
        <w:t xml:space="preserve"> </w:t>
      </w:r>
    </w:p>
    <w:bookmarkEnd w:id="7"/>
    <w:p w14:paraId="5728D8A0" w14:textId="5D6A22A4" w:rsidR="002860DD" w:rsidRDefault="009A5691" w:rsidP="00BA0384">
      <w:pPr>
        <w:pStyle w:val="Heading2"/>
      </w:pPr>
      <w:r>
        <w:t xml:space="preserve">DL and UL </w:t>
      </w:r>
      <w:r w:rsidR="000D773A">
        <w:t>Bitmaps for TDD NB-IoT</w:t>
      </w:r>
    </w:p>
    <w:p w14:paraId="4F78DA04" w14:textId="3074737F" w:rsidR="002274DC" w:rsidRPr="00727050" w:rsidRDefault="002274DC" w:rsidP="004B19F7">
      <w:pPr>
        <w:jc w:val="both"/>
        <w:rPr>
          <w:rFonts w:ascii="Times New Roman" w:hAnsi="Times New Roman" w:cs="Times New Roman"/>
          <w:sz w:val="20"/>
          <w:lang w:val="en-GB"/>
        </w:rPr>
      </w:pPr>
      <w:r w:rsidRPr="00727050">
        <w:rPr>
          <w:rFonts w:ascii="Times New Roman" w:hAnsi="Times New Roman" w:cs="Times New Roman"/>
          <w:sz w:val="20"/>
          <w:lang w:val="en-GB"/>
        </w:rPr>
        <w:t>Preliminary discussions on whether UL, DL, or symbol level bitmaps are needed for TDD NB-IoT</w:t>
      </w:r>
      <w:r w:rsidR="00DA419D" w:rsidRPr="00727050">
        <w:rPr>
          <w:rFonts w:ascii="Times New Roman" w:hAnsi="Times New Roman" w:cs="Times New Roman"/>
          <w:sz w:val="20"/>
          <w:lang w:val="en-GB"/>
        </w:rPr>
        <w:t xml:space="preserve"> took place in RAN1 #90bis without reaching any agreement. Below we perform an analysis on the potential </w:t>
      </w:r>
      <w:r w:rsidR="009A5691" w:rsidRPr="00727050">
        <w:rPr>
          <w:rFonts w:ascii="Times New Roman" w:hAnsi="Times New Roman" w:cs="Times New Roman"/>
          <w:sz w:val="20"/>
          <w:lang w:val="en-GB"/>
        </w:rPr>
        <w:t>needs</w:t>
      </w:r>
      <w:r w:rsidR="00DA419D" w:rsidRPr="00727050">
        <w:rPr>
          <w:rFonts w:ascii="Times New Roman" w:hAnsi="Times New Roman" w:cs="Times New Roman"/>
          <w:sz w:val="20"/>
          <w:lang w:val="en-GB"/>
        </w:rPr>
        <w:t xml:space="preserve"> of having bitmaps for having bitmaps in TDD NB-IoT.</w:t>
      </w:r>
    </w:p>
    <w:p w14:paraId="4773E1BF" w14:textId="6247D169" w:rsidR="009A5691" w:rsidRPr="00727050" w:rsidRDefault="009A5691" w:rsidP="004B19F7">
      <w:pPr>
        <w:jc w:val="both"/>
        <w:rPr>
          <w:rFonts w:ascii="Times New Roman" w:hAnsi="Times New Roman" w:cs="Times New Roman"/>
          <w:sz w:val="20"/>
        </w:rPr>
      </w:pPr>
      <w:r w:rsidRPr="00727050">
        <w:rPr>
          <w:rFonts w:ascii="Times New Roman" w:hAnsi="Times New Roman" w:cs="Times New Roman"/>
          <w:sz w:val="20"/>
          <w:lang w:val="en-GB"/>
        </w:rPr>
        <w:t xml:space="preserve">In NB-IoT FDD, valid DL subframe configuration is over 10ms or 40ms for inband and 10ms for standalone/guardband. This is to provide a good co-existence with the LTE MBFSN service. Therefore, for the NB-IoT TDD DL, the same valid downlink subframe should also be introduced.  </w:t>
      </w:r>
    </w:p>
    <w:p w14:paraId="52006D36" w14:textId="20D9D238" w:rsidR="009A5691" w:rsidRPr="00727050" w:rsidRDefault="009A5691" w:rsidP="009A5691">
      <w:pPr>
        <w:jc w:val="both"/>
        <w:rPr>
          <w:rFonts w:ascii="Times New Roman" w:hAnsi="Times New Roman" w:cs="Times New Roman"/>
          <w:b/>
          <w:i/>
          <w:sz w:val="20"/>
          <w:lang w:val="en-GB"/>
        </w:rPr>
      </w:pPr>
      <w:bookmarkStart w:id="8" w:name="Proposal_6"/>
      <w:r w:rsidRPr="00727050">
        <w:rPr>
          <w:rFonts w:ascii="Times New Roman" w:hAnsi="Times New Roman" w:cs="Times New Roman"/>
          <w:b/>
          <w:i/>
          <w:sz w:val="20"/>
          <w:lang w:val="en-GB"/>
        </w:rPr>
        <w:t xml:space="preserve">Proposal </w:t>
      </w:r>
      <w:r w:rsidR="002A2D3D" w:rsidRPr="00727050">
        <w:rPr>
          <w:rFonts w:ascii="Times New Roman" w:hAnsi="Times New Roman" w:cs="Times New Roman"/>
          <w:b/>
          <w:i/>
          <w:sz w:val="20"/>
          <w:lang w:val="en-GB"/>
        </w:rPr>
        <w:t>6</w:t>
      </w:r>
      <w:r w:rsidRPr="00727050">
        <w:rPr>
          <w:rFonts w:ascii="Times New Roman" w:hAnsi="Times New Roman" w:cs="Times New Roman"/>
          <w:b/>
          <w:i/>
          <w:sz w:val="20"/>
          <w:lang w:val="en-GB"/>
        </w:rPr>
        <w:t>: For NB-IoT TDD, introduce a valid downlink subframe bit map over 10ms or 40ms for inband and 10ms for standalone/guardband.</w:t>
      </w:r>
    </w:p>
    <w:bookmarkEnd w:id="8"/>
    <w:p w14:paraId="0DCB8CBF" w14:textId="0257E571" w:rsidR="000D773A" w:rsidRPr="00727050" w:rsidRDefault="009A5691" w:rsidP="003A431D">
      <w:pPr>
        <w:jc w:val="both"/>
        <w:rPr>
          <w:rFonts w:ascii="Times New Roman" w:hAnsi="Times New Roman" w:cs="Times New Roman"/>
          <w:sz w:val="20"/>
          <w:lang w:val="en-GB"/>
        </w:rPr>
      </w:pPr>
      <w:r w:rsidRPr="00727050">
        <w:rPr>
          <w:rFonts w:ascii="Times New Roman" w:hAnsi="Times New Roman" w:cs="Times New Roman"/>
          <w:sz w:val="20"/>
        </w:rPr>
        <w:t>For the UL, a</w:t>
      </w:r>
      <w:r w:rsidR="00F710B5" w:rsidRPr="00727050">
        <w:rPr>
          <w:rFonts w:ascii="Times New Roman" w:hAnsi="Times New Roman" w:cs="Times New Roman"/>
          <w:sz w:val="20"/>
          <w:lang w:val="en-GB"/>
        </w:rPr>
        <w:t>ccording with [</w:t>
      </w:r>
      <w:r w:rsidR="00F34AB6">
        <w:rPr>
          <w:rFonts w:ascii="Times New Roman" w:hAnsi="Times New Roman" w:cs="Times New Roman"/>
          <w:sz w:val="20"/>
          <w:lang w:val="en-GB"/>
        </w:rPr>
        <w:t>8</w:t>
      </w:r>
      <w:r w:rsidR="00F710B5" w:rsidRPr="00727050">
        <w:rPr>
          <w:rFonts w:ascii="Times New Roman" w:hAnsi="Times New Roman" w:cs="Times New Roman"/>
          <w:sz w:val="20"/>
          <w:lang w:val="en-GB"/>
        </w:rPr>
        <w:t>], t</w:t>
      </w:r>
      <w:r w:rsidR="00596BC1" w:rsidRPr="00727050">
        <w:rPr>
          <w:rFonts w:ascii="Times New Roman" w:hAnsi="Times New Roman" w:cs="Times New Roman"/>
          <w:sz w:val="20"/>
          <w:lang w:val="en-GB"/>
        </w:rPr>
        <w:t>he motiv</w:t>
      </w:r>
      <w:r w:rsidR="00F710B5" w:rsidRPr="00727050">
        <w:rPr>
          <w:rFonts w:ascii="Times New Roman" w:hAnsi="Times New Roman" w:cs="Times New Roman"/>
          <w:sz w:val="20"/>
          <w:lang w:val="en-GB"/>
        </w:rPr>
        <w:t xml:space="preserve">ation for having UL bitmaps is </w:t>
      </w:r>
      <w:r w:rsidR="00596BC1" w:rsidRPr="00727050">
        <w:rPr>
          <w:rFonts w:ascii="Times New Roman" w:hAnsi="Times New Roman" w:cs="Times New Roman"/>
          <w:sz w:val="20"/>
          <w:lang w:val="en-GB"/>
        </w:rPr>
        <w:t xml:space="preserve">related with </w:t>
      </w:r>
      <w:r w:rsidR="00F710B5" w:rsidRPr="00727050">
        <w:rPr>
          <w:rFonts w:ascii="Times New Roman" w:hAnsi="Times New Roman" w:cs="Times New Roman"/>
          <w:sz w:val="20"/>
          <w:lang w:val="en-GB"/>
        </w:rPr>
        <w:t xml:space="preserve">the </w:t>
      </w:r>
      <w:r w:rsidR="003A431D" w:rsidRPr="00727050">
        <w:rPr>
          <w:rFonts w:ascii="Times New Roman" w:hAnsi="Times New Roman" w:cs="Times New Roman"/>
          <w:sz w:val="20"/>
          <w:lang w:val="en-GB"/>
        </w:rPr>
        <w:t>potential co-existence of</w:t>
      </w:r>
      <w:r w:rsidR="00F710B5" w:rsidRPr="00727050">
        <w:rPr>
          <w:rFonts w:ascii="Times New Roman" w:hAnsi="Times New Roman" w:cs="Times New Roman"/>
          <w:sz w:val="20"/>
          <w:lang w:val="en-GB"/>
        </w:rPr>
        <w:t xml:space="preserve"> TDD NB-IoT </w:t>
      </w:r>
      <w:r w:rsidR="00862A2C" w:rsidRPr="00727050">
        <w:rPr>
          <w:rFonts w:ascii="Times New Roman" w:hAnsi="Times New Roman" w:cs="Times New Roman"/>
          <w:sz w:val="20"/>
          <w:lang w:val="en-GB"/>
        </w:rPr>
        <w:t>with</w:t>
      </w:r>
      <w:r w:rsidR="00F710B5" w:rsidRPr="00727050">
        <w:rPr>
          <w:rFonts w:ascii="Times New Roman" w:hAnsi="Times New Roman" w:cs="Times New Roman"/>
          <w:sz w:val="20"/>
          <w:lang w:val="en-GB"/>
        </w:rPr>
        <w:t xml:space="preserve"> LTE TDD cells configured with eIMTA (Enhanced Interference Management and Traffic Adaptation)</w:t>
      </w:r>
      <w:r w:rsidR="003A431D" w:rsidRPr="00727050">
        <w:rPr>
          <w:rFonts w:ascii="Times New Roman" w:hAnsi="Times New Roman" w:cs="Times New Roman"/>
          <w:sz w:val="20"/>
          <w:lang w:val="en-GB"/>
        </w:rPr>
        <w:t>, most commonly known as “Dynamic TDD”</w:t>
      </w:r>
      <w:r w:rsidR="00F710B5" w:rsidRPr="00727050">
        <w:rPr>
          <w:rFonts w:ascii="Times New Roman" w:hAnsi="Times New Roman" w:cs="Times New Roman"/>
          <w:sz w:val="20"/>
          <w:lang w:val="en-GB"/>
        </w:rPr>
        <w:t>.</w:t>
      </w:r>
      <w:r w:rsidR="003A431D" w:rsidRPr="00727050">
        <w:rPr>
          <w:rFonts w:ascii="Times New Roman" w:hAnsi="Times New Roman" w:cs="Times New Roman"/>
          <w:sz w:val="20"/>
          <w:lang w:val="en-GB"/>
        </w:rPr>
        <w:t xml:space="preserve"> Below we provide a background on eIMTA, and later we provide an analysis on whether an UL bitmap for TDD NB-IoT would be needed or not.</w:t>
      </w:r>
    </w:p>
    <w:p w14:paraId="1FF0B6B7" w14:textId="07C78177" w:rsidR="003A431D" w:rsidRDefault="003A431D" w:rsidP="003A431D">
      <w:pPr>
        <w:pStyle w:val="Heading4"/>
      </w:pPr>
      <w:r>
        <w:t>Background on eIMTA</w:t>
      </w:r>
    </w:p>
    <w:p w14:paraId="2AC90AE0" w14:textId="40E68D0A" w:rsidR="00862A2C" w:rsidRPr="00727050" w:rsidRDefault="00862A2C" w:rsidP="002A02E2">
      <w:pPr>
        <w:jc w:val="both"/>
        <w:rPr>
          <w:rFonts w:ascii="Times New Roman" w:hAnsi="Times New Roman" w:cs="Times New Roman"/>
          <w:sz w:val="20"/>
        </w:rPr>
      </w:pPr>
      <w:r w:rsidRPr="00727050">
        <w:rPr>
          <w:rFonts w:ascii="Times New Roman" w:hAnsi="Times New Roman" w:cs="Times New Roman"/>
          <w:sz w:val="20"/>
        </w:rPr>
        <w:t>With eIMTA, the uplink-</w:t>
      </w:r>
      <w:r w:rsidR="00B223E3" w:rsidRPr="00727050">
        <w:rPr>
          <w:rFonts w:ascii="Times New Roman" w:hAnsi="Times New Roman" w:cs="Times New Roman"/>
          <w:sz w:val="20"/>
        </w:rPr>
        <w:t xml:space="preserve">downlink configuration </w:t>
      </w:r>
      <w:r w:rsidR="002C4ECB" w:rsidRPr="00727050">
        <w:rPr>
          <w:rFonts w:ascii="Times New Roman" w:hAnsi="Times New Roman" w:cs="Times New Roman"/>
          <w:sz w:val="20"/>
        </w:rPr>
        <w:t xml:space="preserve">can </w:t>
      </w:r>
      <w:r w:rsidR="00B223E3" w:rsidRPr="00727050">
        <w:rPr>
          <w:rFonts w:ascii="Times New Roman" w:hAnsi="Times New Roman" w:cs="Times New Roman"/>
          <w:sz w:val="20"/>
        </w:rPr>
        <w:t xml:space="preserve">vary on a frame-by-frame basis. The switching of TDD configurations can only occur among certain TDD configurations, </w:t>
      </w:r>
      <w:r w:rsidRPr="00727050">
        <w:rPr>
          <w:rFonts w:ascii="Times New Roman" w:hAnsi="Times New Roman" w:cs="Times New Roman"/>
          <w:sz w:val="20"/>
        </w:rPr>
        <w:t>and for that purpose eIMTA makes use of three different types of uplink-downlink configurations:</w:t>
      </w:r>
    </w:p>
    <w:p w14:paraId="54CFC4A6" w14:textId="038623C4" w:rsidR="00862A2C" w:rsidRPr="00727050" w:rsidRDefault="00862A2C" w:rsidP="00185920">
      <w:pPr>
        <w:pStyle w:val="ListParagraph"/>
        <w:numPr>
          <w:ilvl w:val="0"/>
          <w:numId w:val="18"/>
        </w:numPr>
        <w:jc w:val="both"/>
        <w:rPr>
          <w:rFonts w:ascii="Times New Roman" w:hAnsi="Times New Roman" w:cs="Times New Roman"/>
          <w:sz w:val="20"/>
        </w:rPr>
      </w:pPr>
      <w:r w:rsidRPr="00727050">
        <w:rPr>
          <w:rFonts w:ascii="Times New Roman" w:hAnsi="Times New Roman" w:cs="Times New Roman"/>
          <w:b/>
          <w:bCs/>
          <w:sz w:val="20"/>
        </w:rPr>
        <w:t>uplink reference configuration:</w:t>
      </w:r>
      <w:r w:rsidRPr="00727050">
        <w:rPr>
          <w:rFonts w:ascii="Times New Roman" w:hAnsi="Times New Roman" w:cs="Times New Roman"/>
          <w:sz w:val="20"/>
        </w:rPr>
        <w:t xml:space="preserve"> The uplink reference configuration is obtained from SIB1. It is also the configuration used by non-eIMTA-capable devices.</w:t>
      </w:r>
      <w:r w:rsidR="002A02E2" w:rsidRPr="00727050">
        <w:rPr>
          <w:rFonts w:ascii="Times New Roman" w:hAnsi="Times New Roman" w:cs="Times New Roman"/>
          <w:sz w:val="20"/>
        </w:rPr>
        <w:t xml:space="preserve"> Downlink subframes are guaranteed to be downlink subframes despite any dynamic reconfiguration.</w:t>
      </w:r>
    </w:p>
    <w:p w14:paraId="481CF445" w14:textId="51A4A321" w:rsidR="00862A2C" w:rsidRPr="00727050" w:rsidRDefault="0007470E" w:rsidP="00185920">
      <w:pPr>
        <w:pStyle w:val="ListParagraph"/>
        <w:numPr>
          <w:ilvl w:val="0"/>
          <w:numId w:val="18"/>
        </w:numPr>
        <w:jc w:val="both"/>
        <w:rPr>
          <w:rFonts w:ascii="Times New Roman" w:hAnsi="Times New Roman" w:cs="Times New Roman"/>
          <w:sz w:val="20"/>
        </w:rPr>
      </w:pPr>
      <w:r w:rsidRPr="00727050">
        <w:rPr>
          <w:rFonts w:ascii="Times New Roman" w:hAnsi="Times New Roman" w:cs="Times New Roman"/>
          <w:b/>
          <w:bCs/>
          <w:sz w:val="20"/>
        </w:rPr>
        <w:t>downlink reference configuration:</w:t>
      </w:r>
      <w:r w:rsidRPr="00727050">
        <w:rPr>
          <w:rFonts w:ascii="Times New Roman" w:hAnsi="Times New Roman" w:cs="Times New Roman"/>
          <w:sz w:val="20"/>
        </w:rPr>
        <w:t xml:space="preserve"> The downlink reference configuration is obtained from dedicated RRC signaling, specific to eIMTA-capable devices</w:t>
      </w:r>
      <w:r w:rsidR="002A02E2" w:rsidRPr="00727050">
        <w:rPr>
          <w:rFonts w:ascii="Times New Roman" w:hAnsi="Times New Roman" w:cs="Times New Roman"/>
          <w:sz w:val="20"/>
        </w:rPr>
        <w:t>. Uplink subframes are guaranteed to be uplink subframes despite any dynamic reconfiguration.</w:t>
      </w:r>
    </w:p>
    <w:p w14:paraId="0CDDC107" w14:textId="341A1F4E" w:rsidR="00862A2C" w:rsidRPr="00727050" w:rsidRDefault="002A02E2" w:rsidP="00185920">
      <w:pPr>
        <w:pStyle w:val="ListParagraph"/>
        <w:numPr>
          <w:ilvl w:val="0"/>
          <w:numId w:val="18"/>
        </w:numPr>
        <w:jc w:val="both"/>
        <w:rPr>
          <w:rFonts w:ascii="Times New Roman" w:hAnsi="Times New Roman" w:cs="Times New Roman"/>
          <w:sz w:val="20"/>
        </w:rPr>
      </w:pPr>
      <w:r w:rsidRPr="00727050">
        <w:rPr>
          <w:rFonts w:ascii="Times New Roman" w:hAnsi="Times New Roman" w:cs="Times New Roman"/>
          <w:b/>
          <w:bCs/>
          <w:sz w:val="20"/>
        </w:rPr>
        <w:t>current uplink-downlink configuration</w:t>
      </w:r>
      <w:r w:rsidRPr="00727050">
        <w:rPr>
          <w:rFonts w:ascii="Times New Roman" w:hAnsi="Times New Roman" w:cs="Times New Roman"/>
          <w:sz w:val="20"/>
        </w:rPr>
        <w:t xml:space="preserve">: From the two reference configurations the so-called “flexible subframes” are identified, which are those subframes that result to be different when the UL and DL reference configurations are compared one-on-one. Thus, a flexible subframe can be used in either transmission direction (i.e., UL or DL). So, the </w:t>
      </w:r>
      <w:r w:rsidRPr="00727050">
        <w:rPr>
          <w:rFonts w:ascii="Times New Roman" w:hAnsi="Times New Roman" w:cs="Times New Roman"/>
          <w:b/>
          <w:bCs/>
          <w:sz w:val="20"/>
        </w:rPr>
        <w:t>current uplink-downlink configuration</w:t>
      </w:r>
      <w:r w:rsidRPr="00727050">
        <w:rPr>
          <w:rFonts w:ascii="Times New Roman" w:hAnsi="Times New Roman" w:cs="Times New Roman"/>
          <w:sz w:val="20"/>
        </w:rPr>
        <w:t xml:space="preserve"> is the configuration that is broadcasted regularly and can be dynamically changed</w:t>
      </w:r>
      <w:r w:rsidR="00862A2C" w:rsidRPr="00727050">
        <w:rPr>
          <w:rFonts w:ascii="Times New Roman" w:hAnsi="Times New Roman" w:cs="Times New Roman"/>
          <w:sz w:val="20"/>
        </w:rPr>
        <w:t>s</w:t>
      </w:r>
    </w:p>
    <w:p w14:paraId="0B3ED56B" w14:textId="1709D19D" w:rsidR="00B223E3" w:rsidRPr="00727050" w:rsidRDefault="00B223E3" w:rsidP="00B223E3">
      <w:pPr>
        <w:autoSpaceDE w:val="0"/>
        <w:autoSpaceDN w:val="0"/>
        <w:jc w:val="both"/>
        <w:rPr>
          <w:rFonts w:ascii="Times New Roman" w:hAnsi="Times New Roman" w:cs="Times New Roman"/>
          <w:sz w:val="20"/>
        </w:rPr>
      </w:pPr>
      <w:r w:rsidRPr="00727050">
        <w:rPr>
          <w:rFonts w:ascii="Times New Roman" w:hAnsi="Times New Roman" w:cs="Times New Roman"/>
          <w:sz w:val="20"/>
        </w:rPr>
        <w:t>A device not detecting the current uplink-downlink configuration will assume the current allocation being equal to the uplink reference configuration for the coming frame(s). In other words, the device behaves in the same way as a non-eIMTA-enabled device in such a situation. The signaling periodicity for the current configuration can be set to once per 10, 20, 40, or 80 ms.</w:t>
      </w:r>
    </w:p>
    <w:p w14:paraId="535298D9" w14:textId="04263438" w:rsidR="003A431D" w:rsidRDefault="0070040E" w:rsidP="003A431D">
      <w:pPr>
        <w:pStyle w:val="Heading4"/>
      </w:pPr>
      <w:r>
        <w:t>Coexistence of TDD NB-IoT and LTE TDD configured with eIMTA</w:t>
      </w:r>
    </w:p>
    <w:p w14:paraId="0CFAD765" w14:textId="72BBA836" w:rsidR="003A431D" w:rsidRPr="00727050" w:rsidRDefault="00346412" w:rsidP="008B391E">
      <w:pPr>
        <w:jc w:val="both"/>
        <w:rPr>
          <w:rFonts w:ascii="Times New Roman" w:hAnsi="Times New Roman" w:cs="Times New Roman"/>
          <w:sz w:val="20"/>
          <w:lang w:val="en-GB"/>
        </w:rPr>
      </w:pPr>
      <w:r w:rsidRPr="00727050">
        <w:rPr>
          <w:rFonts w:ascii="Times New Roman" w:hAnsi="Times New Roman" w:cs="Times New Roman"/>
          <w:sz w:val="20"/>
          <w:lang w:val="en-GB"/>
        </w:rPr>
        <w:t xml:space="preserve">When a TDD NB-IoT </w:t>
      </w:r>
      <w:r w:rsidR="0070040E" w:rsidRPr="00727050">
        <w:rPr>
          <w:rFonts w:ascii="Times New Roman" w:hAnsi="Times New Roman" w:cs="Times New Roman"/>
          <w:sz w:val="20"/>
          <w:lang w:val="en-GB"/>
        </w:rPr>
        <w:t>is deployed</w:t>
      </w:r>
      <w:r w:rsidRPr="00727050">
        <w:rPr>
          <w:rFonts w:ascii="Times New Roman" w:hAnsi="Times New Roman" w:cs="Times New Roman"/>
          <w:sz w:val="20"/>
          <w:lang w:val="en-GB"/>
        </w:rPr>
        <w:t xml:space="preserve"> close </w:t>
      </w:r>
      <w:r w:rsidR="0070040E" w:rsidRPr="00727050">
        <w:rPr>
          <w:rFonts w:ascii="Times New Roman" w:hAnsi="Times New Roman" w:cs="Times New Roman"/>
          <w:sz w:val="20"/>
          <w:lang w:val="en-GB"/>
        </w:rPr>
        <w:t xml:space="preserve">enough to </w:t>
      </w:r>
      <w:r w:rsidRPr="00727050">
        <w:rPr>
          <w:rFonts w:ascii="Times New Roman" w:hAnsi="Times New Roman" w:cs="Times New Roman"/>
          <w:sz w:val="20"/>
          <w:lang w:val="en-GB"/>
        </w:rPr>
        <w:t>a</w:t>
      </w:r>
      <w:r w:rsidR="0070040E" w:rsidRPr="00727050">
        <w:rPr>
          <w:rFonts w:ascii="Times New Roman" w:hAnsi="Times New Roman" w:cs="Times New Roman"/>
          <w:sz w:val="20"/>
          <w:lang w:val="en-GB"/>
        </w:rPr>
        <w:t xml:space="preserve"> LTE TDD cell configured with eIMTA, and the TDD configurations happen to be different, the subframes </w:t>
      </w:r>
      <w:r w:rsidR="008B391E" w:rsidRPr="00727050">
        <w:rPr>
          <w:rFonts w:ascii="Times New Roman" w:hAnsi="Times New Roman" w:cs="Times New Roman"/>
          <w:sz w:val="20"/>
          <w:lang w:val="en-GB"/>
        </w:rPr>
        <w:t>on which the</w:t>
      </w:r>
      <w:r w:rsidR="0070040E" w:rsidRPr="00727050">
        <w:rPr>
          <w:rFonts w:ascii="Times New Roman" w:hAnsi="Times New Roman" w:cs="Times New Roman"/>
          <w:sz w:val="20"/>
          <w:lang w:val="en-GB"/>
        </w:rPr>
        <w:t xml:space="preserve"> transmission direction</w:t>
      </w:r>
      <w:r w:rsidR="001653A7" w:rsidRPr="00727050">
        <w:rPr>
          <w:rFonts w:ascii="Times New Roman" w:hAnsi="Times New Roman" w:cs="Times New Roman"/>
          <w:sz w:val="20"/>
          <w:lang w:val="en-GB"/>
        </w:rPr>
        <w:t>s</w:t>
      </w:r>
      <w:r w:rsidR="0070040E" w:rsidRPr="00727050">
        <w:rPr>
          <w:rFonts w:ascii="Times New Roman" w:hAnsi="Times New Roman" w:cs="Times New Roman"/>
          <w:sz w:val="20"/>
          <w:lang w:val="en-GB"/>
        </w:rPr>
        <w:t xml:space="preserve"> </w:t>
      </w:r>
      <w:r w:rsidR="008B391E" w:rsidRPr="00727050">
        <w:rPr>
          <w:rFonts w:ascii="Times New Roman" w:hAnsi="Times New Roman" w:cs="Times New Roman"/>
          <w:sz w:val="20"/>
          <w:lang w:val="en-GB"/>
        </w:rPr>
        <w:t>oppose each other</w:t>
      </w:r>
      <w:r w:rsidR="0070040E" w:rsidRPr="00727050">
        <w:rPr>
          <w:rFonts w:ascii="Times New Roman" w:hAnsi="Times New Roman" w:cs="Times New Roman"/>
          <w:sz w:val="20"/>
          <w:lang w:val="en-GB"/>
        </w:rPr>
        <w:t xml:space="preserve"> will undergo </w:t>
      </w:r>
      <w:r w:rsidR="008B391E" w:rsidRPr="00727050">
        <w:rPr>
          <w:rFonts w:ascii="Times New Roman" w:hAnsi="Times New Roman" w:cs="Times New Roman"/>
          <w:sz w:val="20"/>
          <w:lang w:val="en-GB"/>
        </w:rPr>
        <w:t>“cross subframe co-channel interference”.</w:t>
      </w:r>
      <w:r w:rsidR="00E44776" w:rsidRPr="00727050">
        <w:rPr>
          <w:rFonts w:ascii="Times New Roman" w:hAnsi="Times New Roman" w:cs="Times New Roman"/>
          <w:sz w:val="20"/>
          <w:lang w:val="en-GB"/>
        </w:rPr>
        <w:t xml:space="preserve"> </w:t>
      </w:r>
    </w:p>
    <w:p w14:paraId="5D22F1CB" w14:textId="0F5A65AC" w:rsidR="00C27B90" w:rsidRPr="00727050" w:rsidRDefault="00C27B90" w:rsidP="008B391E">
      <w:pPr>
        <w:jc w:val="both"/>
        <w:rPr>
          <w:rFonts w:ascii="Times New Roman" w:hAnsi="Times New Roman" w:cs="Times New Roman"/>
          <w:sz w:val="20"/>
          <w:lang w:val="en-GB"/>
        </w:rPr>
      </w:pPr>
      <w:r w:rsidRPr="00727050">
        <w:rPr>
          <w:rFonts w:ascii="Times New Roman" w:hAnsi="Times New Roman" w:cs="Times New Roman"/>
          <w:sz w:val="20"/>
          <w:lang w:val="en-GB"/>
        </w:rPr>
        <w:t>For preventing the “cross subframe co-channel interference” to happen</w:t>
      </w:r>
      <w:r w:rsidR="00E44776" w:rsidRPr="00727050">
        <w:rPr>
          <w:rFonts w:ascii="Times New Roman" w:hAnsi="Times New Roman" w:cs="Times New Roman"/>
          <w:sz w:val="20"/>
          <w:lang w:val="en-GB"/>
        </w:rPr>
        <w:t xml:space="preserve">, at first glance it can be thought that the TDD NB-IoT cell should follow the same dynamism as the LTE TDD cell. However, </w:t>
      </w:r>
      <w:r w:rsidR="00DC6AA1" w:rsidRPr="00727050">
        <w:rPr>
          <w:rFonts w:ascii="Times New Roman" w:hAnsi="Times New Roman" w:cs="Times New Roman"/>
          <w:sz w:val="20"/>
          <w:lang w:val="en-GB"/>
        </w:rPr>
        <w:t xml:space="preserve">in TDD NB-IoT </w:t>
      </w:r>
      <w:r w:rsidRPr="00727050">
        <w:rPr>
          <w:rFonts w:ascii="Times New Roman" w:hAnsi="Times New Roman" w:cs="Times New Roman"/>
          <w:sz w:val="20"/>
          <w:lang w:val="en-GB"/>
        </w:rPr>
        <w:t xml:space="preserve">the typical use cases make use of a large number of repetitions </w:t>
      </w:r>
      <w:r w:rsidR="00DC6AA1" w:rsidRPr="00727050">
        <w:rPr>
          <w:rFonts w:ascii="Times New Roman" w:hAnsi="Times New Roman" w:cs="Times New Roman"/>
          <w:sz w:val="20"/>
          <w:lang w:val="en-GB"/>
        </w:rPr>
        <w:t>for reaching</w:t>
      </w:r>
      <w:r w:rsidRPr="00727050">
        <w:rPr>
          <w:rFonts w:ascii="Times New Roman" w:hAnsi="Times New Roman" w:cs="Times New Roman"/>
          <w:sz w:val="20"/>
          <w:lang w:val="en-GB"/>
        </w:rPr>
        <w:t xml:space="preserve"> a given MCL target, while</w:t>
      </w:r>
      <w:r w:rsidR="00DC6AA1" w:rsidRPr="00727050">
        <w:rPr>
          <w:rFonts w:ascii="Times New Roman" w:hAnsi="Times New Roman" w:cs="Times New Roman"/>
          <w:sz w:val="20"/>
          <w:lang w:val="en-GB"/>
        </w:rPr>
        <w:t xml:space="preserve"> in the LTE TDD cell the traffic situation might change more dynamically, reason why eIMT</w:t>
      </w:r>
      <w:r w:rsidR="00534BE9">
        <w:rPr>
          <w:rFonts w:ascii="Times New Roman" w:hAnsi="Times New Roman" w:cs="Times New Roman"/>
          <w:sz w:val="20"/>
          <w:lang w:val="en-GB"/>
        </w:rPr>
        <w:t>A</w:t>
      </w:r>
      <w:r w:rsidR="00DC6AA1" w:rsidRPr="00727050">
        <w:rPr>
          <w:rFonts w:ascii="Times New Roman" w:hAnsi="Times New Roman" w:cs="Times New Roman"/>
          <w:sz w:val="20"/>
          <w:lang w:val="en-GB"/>
        </w:rPr>
        <w:t xml:space="preserve"> allows to change the LTE TDD configuration even on a per radio frame basis.</w:t>
      </w:r>
    </w:p>
    <w:p w14:paraId="243111F6" w14:textId="5799DC98" w:rsidR="00E44776" w:rsidRPr="00727050" w:rsidRDefault="00DC6AA1" w:rsidP="008B391E">
      <w:pPr>
        <w:jc w:val="both"/>
        <w:rPr>
          <w:rFonts w:ascii="Times New Roman" w:hAnsi="Times New Roman" w:cs="Times New Roman"/>
          <w:sz w:val="20"/>
          <w:szCs w:val="20"/>
          <w:lang w:val="en-GB"/>
        </w:rPr>
      </w:pPr>
      <w:r w:rsidRPr="00727050">
        <w:rPr>
          <w:rFonts w:ascii="Times New Roman" w:hAnsi="Times New Roman" w:cs="Times New Roman"/>
          <w:sz w:val="20"/>
          <w:lang w:val="en-GB"/>
        </w:rPr>
        <w:t>Due to those inherent differences</w:t>
      </w:r>
      <w:r w:rsidR="009D052A" w:rsidRPr="00727050">
        <w:rPr>
          <w:rFonts w:ascii="Times New Roman" w:hAnsi="Times New Roman" w:cs="Times New Roman"/>
          <w:sz w:val="20"/>
          <w:lang w:val="en-GB"/>
        </w:rPr>
        <w:t xml:space="preserve"> between TDD NB-IoT</w:t>
      </w:r>
      <w:r w:rsidRPr="00727050">
        <w:rPr>
          <w:rFonts w:ascii="Times New Roman" w:hAnsi="Times New Roman" w:cs="Times New Roman"/>
          <w:sz w:val="20"/>
          <w:lang w:val="en-GB"/>
        </w:rPr>
        <w:t xml:space="preserve"> and LTE TDD</w:t>
      </w:r>
      <w:r w:rsidR="009D052A" w:rsidRPr="00727050">
        <w:rPr>
          <w:rFonts w:ascii="Times New Roman" w:hAnsi="Times New Roman" w:cs="Times New Roman"/>
          <w:sz w:val="20"/>
          <w:lang w:val="en-GB"/>
        </w:rPr>
        <w:t>, when a “cross subframe co-channel interference” happens to occur, the TDD NB-IoT device can be handle</w:t>
      </w:r>
      <w:r w:rsidR="004166A0">
        <w:rPr>
          <w:rFonts w:ascii="Times New Roman" w:hAnsi="Times New Roman" w:cs="Times New Roman"/>
          <w:sz w:val="20"/>
          <w:lang w:val="en-GB"/>
        </w:rPr>
        <w:t>d</w:t>
      </w:r>
      <w:r w:rsidR="009D052A" w:rsidRPr="00727050">
        <w:rPr>
          <w:rFonts w:ascii="Times New Roman" w:hAnsi="Times New Roman" w:cs="Times New Roman"/>
          <w:sz w:val="20"/>
          <w:lang w:val="en-GB"/>
        </w:rPr>
        <w:t xml:space="preserve"> in the same </w:t>
      </w:r>
      <w:r w:rsidR="004166A0">
        <w:rPr>
          <w:rFonts w:ascii="Times New Roman" w:hAnsi="Times New Roman" w:cs="Times New Roman"/>
          <w:sz w:val="20"/>
          <w:lang w:val="en-GB"/>
        </w:rPr>
        <w:t xml:space="preserve">way as </w:t>
      </w:r>
      <w:r w:rsidR="009D052A" w:rsidRPr="00727050">
        <w:rPr>
          <w:rFonts w:ascii="Times New Roman" w:hAnsi="Times New Roman" w:cs="Times New Roman"/>
          <w:sz w:val="20"/>
          <w:lang w:val="en-GB"/>
        </w:rPr>
        <w:t>“</w:t>
      </w:r>
      <w:r w:rsidR="009D052A" w:rsidRPr="00727050">
        <w:rPr>
          <w:rFonts w:ascii="Times New Roman" w:hAnsi="Times New Roman" w:cs="Times New Roman"/>
          <w:sz w:val="20"/>
        </w:rPr>
        <w:t>non-eIMTA-capable” devices</w:t>
      </w:r>
      <w:r w:rsidR="009D052A" w:rsidRPr="00727050">
        <w:rPr>
          <w:rFonts w:ascii="Times New Roman" w:hAnsi="Times New Roman" w:cs="Times New Roman"/>
          <w:sz w:val="20"/>
          <w:lang w:val="en-GB"/>
        </w:rPr>
        <w:t xml:space="preserve"> are handled </w:t>
      </w:r>
      <w:r w:rsidR="009D052A" w:rsidRPr="00727050">
        <w:rPr>
          <w:rFonts w:ascii="Times New Roman" w:hAnsi="Times New Roman" w:cs="Times New Roman"/>
          <w:sz w:val="20"/>
          <w:lang w:val="en-GB"/>
        </w:rPr>
        <w:lastRenderedPageBreak/>
        <w:t>by the LTE TDD cell</w:t>
      </w:r>
      <w:r w:rsidRPr="00727050">
        <w:rPr>
          <w:rFonts w:ascii="Times New Roman" w:hAnsi="Times New Roman" w:cs="Times New Roman"/>
          <w:sz w:val="20"/>
          <w:lang w:val="en-GB"/>
        </w:rPr>
        <w:t>.</w:t>
      </w:r>
      <w:r w:rsidR="009D052A" w:rsidRPr="00727050">
        <w:rPr>
          <w:rFonts w:ascii="Times New Roman" w:hAnsi="Times New Roman" w:cs="Times New Roman"/>
          <w:sz w:val="20"/>
          <w:lang w:val="en-GB"/>
        </w:rPr>
        <w:t xml:space="preserve"> </w:t>
      </w:r>
      <w:r w:rsidR="00A94A03" w:rsidRPr="00727050">
        <w:rPr>
          <w:rFonts w:ascii="Times New Roman" w:hAnsi="Times New Roman" w:cs="Times New Roman"/>
          <w:sz w:val="20"/>
          <w:lang w:val="en-GB"/>
        </w:rPr>
        <w:t xml:space="preserve">Recall that </w:t>
      </w:r>
      <w:r w:rsidR="0093412E" w:rsidRPr="00727050">
        <w:rPr>
          <w:rFonts w:ascii="Times New Roman" w:hAnsi="Times New Roman" w:cs="Times New Roman"/>
          <w:sz w:val="20"/>
          <w:lang w:val="en-GB"/>
        </w:rPr>
        <w:t>in the LTE TDD cell the scheduler operates on a 1ms TTI basis, and can quickly make scheduling adjustments to deal with the interference</w:t>
      </w:r>
      <w:r w:rsidR="00A94A03" w:rsidRPr="00727050">
        <w:rPr>
          <w:rFonts w:ascii="Times New Roman" w:hAnsi="Times New Roman" w:cs="Times New Roman"/>
          <w:sz w:val="20"/>
          <w:lang w:val="en-GB"/>
        </w:rPr>
        <w:t xml:space="preserve">. </w:t>
      </w:r>
      <w:r w:rsidR="009D052A" w:rsidRPr="00727050">
        <w:rPr>
          <w:rFonts w:ascii="Times New Roman" w:hAnsi="Times New Roman" w:cs="Times New Roman"/>
          <w:sz w:val="20"/>
          <w:lang w:val="en-GB"/>
        </w:rPr>
        <w:t xml:space="preserve">Thus, </w:t>
      </w:r>
      <w:r w:rsidR="00A94A03" w:rsidRPr="00727050">
        <w:rPr>
          <w:rFonts w:ascii="Times New Roman" w:hAnsi="Times New Roman" w:cs="Times New Roman"/>
          <w:sz w:val="20"/>
          <w:lang w:val="en-GB"/>
        </w:rPr>
        <w:t xml:space="preserve">in principle </w:t>
      </w:r>
      <w:r w:rsidR="009D052A" w:rsidRPr="00727050">
        <w:rPr>
          <w:rFonts w:ascii="Times New Roman" w:hAnsi="Times New Roman" w:cs="Times New Roman"/>
          <w:sz w:val="20"/>
          <w:lang w:val="en-GB"/>
        </w:rPr>
        <w:t xml:space="preserve">no </w:t>
      </w:r>
      <w:r w:rsidR="00A94A03" w:rsidRPr="00727050">
        <w:rPr>
          <w:rFonts w:ascii="Times New Roman" w:hAnsi="Times New Roman" w:cs="Times New Roman"/>
          <w:sz w:val="20"/>
          <w:lang w:val="en-GB"/>
        </w:rPr>
        <w:t>“</w:t>
      </w:r>
      <w:r w:rsidR="009D052A" w:rsidRPr="00727050">
        <w:rPr>
          <w:rFonts w:ascii="Times New Roman" w:hAnsi="Times New Roman" w:cs="Times New Roman"/>
          <w:sz w:val="20"/>
          <w:lang w:val="en-GB"/>
        </w:rPr>
        <w:t>Uplink bitmap</w:t>
      </w:r>
      <w:r w:rsidR="00A94A03" w:rsidRPr="00727050">
        <w:rPr>
          <w:rFonts w:ascii="Times New Roman" w:hAnsi="Times New Roman" w:cs="Times New Roman"/>
          <w:sz w:val="20"/>
          <w:lang w:val="en-GB"/>
        </w:rPr>
        <w:t>”</w:t>
      </w:r>
      <w:r w:rsidR="00B500EC" w:rsidRPr="00727050">
        <w:rPr>
          <w:rFonts w:ascii="Times New Roman" w:hAnsi="Times New Roman" w:cs="Times New Roman"/>
          <w:sz w:val="20"/>
          <w:lang w:val="en-GB"/>
        </w:rPr>
        <w:t xml:space="preserve"> </w:t>
      </w:r>
      <w:r w:rsidR="00A94A03" w:rsidRPr="00727050">
        <w:rPr>
          <w:rFonts w:ascii="Times New Roman" w:hAnsi="Times New Roman" w:cs="Times New Roman"/>
          <w:sz w:val="20"/>
          <w:lang w:val="en-GB"/>
        </w:rPr>
        <w:t xml:space="preserve">seems </w:t>
      </w:r>
      <w:r w:rsidR="0093412E" w:rsidRPr="00727050">
        <w:rPr>
          <w:rFonts w:ascii="Times New Roman" w:hAnsi="Times New Roman" w:cs="Times New Roman"/>
          <w:sz w:val="20"/>
          <w:lang w:val="en-GB"/>
        </w:rPr>
        <w:t xml:space="preserve">to be </w:t>
      </w:r>
      <w:r w:rsidR="00A94A03" w:rsidRPr="00727050">
        <w:rPr>
          <w:rFonts w:ascii="Times New Roman" w:hAnsi="Times New Roman" w:cs="Times New Roman"/>
          <w:sz w:val="20"/>
          <w:lang w:val="en-GB"/>
        </w:rPr>
        <w:t>required for TDD NB-IoT.</w:t>
      </w:r>
      <w:r w:rsidR="009A5691" w:rsidRPr="00727050">
        <w:rPr>
          <w:rFonts w:ascii="Times New Roman" w:hAnsi="Times New Roman" w:cs="Times New Roman"/>
          <w:sz w:val="20"/>
          <w:lang w:val="en-GB"/>
        </w:rPr>
        <w:t xml:space="preserve"> Furthermore, </w:t>
      </w:r>
      <w:r w:rsidR="009F0262" w:rsidRPr="00727050">
        <w:rPr>
          <w:rFonts w:ascii="Times New Roman" w:hAnsi="Times New Roman" w:cs="Times New Roman"/>
          <w:sz w:val="20"/>
          <w:lang w:val="en-GB"/>
        </w:rPr>
        <w:t>since the NB-IoT only uses few PRBs in the in</w:t>
      </w:r>
      <w:r w:rsidR="004166A0">
        <w:rPr>
          <w:rFonts w:ascii="Times New Roman" w:hAnsi="Times New Roman" w:cs="Times New Roman"/>
          <w:sz w:val="20"/>
          <w:lang w:val="en-GB"/>
        </w:rPr>
        <w:t>b</w:t>
      </w:r>
      <w:r w:rsidR="009F0262" w:rsidRPr="00727050">
        <w:rPr>
          <w:rFonts w:ascii="Times New Roman" w:hAnsi="Times New Roman" w:cs="Times New Roman"/>
          <w:sz w:val="20"/>
          <w:lang w:val="en-GB"/>
        </w:rPr>
        <w:t xml:space="preserve">and deployment, the eNB scheduler </w:t>
      </w:r>
      <w:r w:rsidR="00127331">
        <w:rPr>
          <w:rFonts w:ascii="Times New Roman" w:hAnsi="Times New Roman" w:cs="Times New Roman"/>
          <w:sz w:val="20"/>
          <w:lang w:val="en-GB"/>
        </w:rPr>
        <w:t>may</w:t>
      </w:r>
      <w:r w:rsidR="009F0262" w:rsidRPr="00727050">
        <w:rPr>
          <w:rFonts w:ascii="Times New Roman" w:hAnsi="Times New Roman" w:cs="Times New Roman"/>
          <w:sz w:val="20"/>
          <w:lang w:val="en-GB"/>
        </w:rPr>
        <w:t xml:space="preserve"> also avoid </w:t>
      </w:r>
      <w:r w:rsidR="009F0262" w:rsidRPr="00727050">
        <w:rPr>
          <w:rFonts w:ascii="Times New Roman" w:hAnsi="Times New Roman" w:cs="Times New Roman"/>
          <w:sz w:val="20"/>
          <w:szCs w:val="20"/>
          <w:lang w:val="en-GB"/>
        </w:rPr>
        <w:t xml:space="preserve">the “cross subframe co-channel interference” in the frequency domain by scheduling. </w:t>
      </w:r>
    </w:p>
    <w:p w14:paraId="0D8CD765" w14:textId="30730999" w:rsidR="00A94A03" w:rsidRPr="00727050" w:rsidRDefault="002A2D3D" w:rsidP="008B391E">
      <w:pPr>
        <w:jc w:val="both"/>
        <w:rPr>
          <w:rFonts w:ascii="Times New Roman" w:hAnsi="Times New Roman" w:cs="Times New Roman"/>
          <w:b/>
          <w:i/>
          <w:sz w:val="20"/>
          <w:szCs w:val="20"/>
          <w:lang w:val="en-GB"/>
        </w:rPr>
      </w:pPr>
      <w:bookmarkStart w:id="9" w:name="Observation_1"/>
      <w:r w:rsidRPr="00727050">
        <w:rPr>
          <w:rFonts w:ascii="Times New Roman" w:hAnsi="Times New Roman" w:cs="Times New Roman"/>
          <w:b/>
          <w:i/>
          <w:sz w:val="20"/>
          <w:szCs w:val="20"/>
          <w:lang w:val="en-GB"/>
        </w:rPr>
        <w:t xml:space="preserve">Observation </w:t>
      </w:r>
      <w:r w:rsidR="004B19F7" w:rsidRPr="00727050">
        <w:rPr>
          <w:rFonts w:ascii="Times New Roman" w:hAnsi="Times New Roman" w:cs="Times New Roman"/>
          <w:b/>
          <w:i/>
          <w:sz w:val="20"/>
          <w:szCs w:val="20"/>
          <w:lang w:val="en-GB"/>
        </w:rPr>
        <w:t>1</w:t>
      </w:r>
      <w:r w:rsidR="00A94A03" w:rsidRPr="00727050">
        <w:rPr>
          <w:rFonts w:ascii="Times New Roman" w:hAnsi="Times New Roman" w:cs="Times New Roman"/>
          <w:b/>
          <w:i/>
          <w:sz w:val="20"/>
          <w:szCs w:val="20"/>
          <w:lang w:val="en-GB"/>
        </w:rPr>
        <w:t>:</w:t>
      </w:r>
      <w:r w:rsidR="007D5251" w:rsidRPr="00727050">
        <w:rPr>
          <w:rFonts w:ascii="Times New Roman" w:hAnsi="Times New Roman" w:cs="Times New Roman"/>
          <w:b/>
          <w:i/>
          <w:sz w:val="20"/>
          <w:szCs w:val="20"/>
          <w:lang w:val="en-GB"/>
        </w:rPr>
        <w:t xml:space="preserve"> In TDD NB-IoT the typical use cases make use of a large number of repetitions for reaching a given Coverage/MCL target, while in the LTE TDD cell the traffic situation might change more dynamically and can even be adjusted on a per radio frame basis. For that reason, the TDD NB-IoT couldn’t follow the dynamism of a LTE TDD cell.</w:t>
      </w:r>
    </w:p>
    <w:p w14:paraId="5085E214" w14:textId="55B0B2BE" w:rsidR="00A94A03" w:rsidRPr="00727050" w:rsidRDefault="009F0262" w:rsidP="008B391E">
      <w:pPr>
        <w:jc w:val="both"/>
        <w:rPr>
          <w:rFonts w:ascii="Times New Roman" w:hAnsi="Times New Roman" w:cs="Times New Roman"/>
          <w:b/>
          <w:i/>
          <w:sz w:val="20"/>
          <w:szCs w:val="20"/>
          <w:lang w:val="en-GB"/>
        </w:rPr>
      </w:pPr>
      <w:bookmarkStart w:id="10" w:name="Observation_2"/>
      <w:bookmarkEnd w:id="9"/>
      <w:r w:rsidRPr="00727050">
        <w:rPr>
          <w:rFonts w:ascii="Times New Roman" w:hAnsi="Times New Roman" w:cs="Times New Roman"/>
          <w:b/>
          <w:i/>
          <w:sz w:val="20"/>
          <w:szCs w:val="20"/>
          <w:lang w:val="en-GB"/>
        </w:rPr>
        <w:t>Observation</w:t>
      </w:r>
      <w:r w:rsidR="002A2D3D" w:rsidRPr="00727050">
        <w:rPr>
          <w:rFonts w:ascii="Times New Roman" w:hAnsi="Times New Roman" w:cs="Times New Roman"/>
          <w:b/>
          <w:i/>
          <w:sz w:val="20"/>
          <w:szCs w:val="20"/>
          <w:lang w:val="en-GB"/>
        </w:rPr>
        <w:t xml:space="preserve"> </w:t>
      </w:r>
      <w:r w:rsidR="004B19F7" w:rsidRPr="00727050">
        <w:rPr>
          <w:rFonts w:ascii="Times New Roman" w:hAnsi="Times New Roman" w:cs="Times New Roman"/>
          <w:b/>
          <w:i/>
          <w:sz w:val="20"/>
          <w:szCs w:val="20"/>
          <w:lang w:val="en-GB"/>
        </w:rPr>
        <w:t>2</w:t>
      </w:r>
      <w:r w:rsidR="00A94A03" w:rsidRPr="00727050">
        <w:rPr>
          <w:rFonts w:ascii="Times New Roman" w:hAnsi="Times New Roman" w:cs="Times New Roman"/>
          <w:b/>
          <w:i/>
          <w:sz w:val="20"/>
          <w:szCs w:val="20"/>
          <w:lang w:val="en-GB"/>
        </w:rPr>
        <w:t>:</w:t>
      </w:r>
      <w:r w:rsidR="007D5251" w:rsidRPr="00727050">
        <w:rPr>
          <w:rFonts w:ascii="Times New Roman" w:hAnsi="Times New Roman" w:cs="Times New Roman"/>
          <w:b/>
          <w:i/>
          <w:sz w:val="20"/>
          <w:szCs w:val="20"/>
          <w:lang w:val="en-GB"/>
        </w:rPr>
        <w:t xml:space="preserve"> When a “cross subframe co-channel interference” happens to occur between a TDD NB-IoT cell and a LTE TDD cell configured with eIMTA, the TDD NB-IoT device is handle</w:t>
      </w:r>
      <w:r w:rsidR="004166A0">
        <w:rPr>
          <w:rFonts w:ascii="Times New Roman" w:hAnsi="Times New Roman" w:cs="Times New Roman"/>
          <w:b/>
          <w:i/>
          <w:sz w:val="20"/>
          <w:szCs w:val="20"/>
          <w:lang w:val="en-GB"/>
        </w:rPr>
        <w:t>d</w:t>
      </w:r>
      <w:r w:rsidR="007D5251" w:rsidRPr="00727050">
        <w:rPr>
          <w:rFonts w:ascii="Times New Roman" w:hAnsi="Times New Roman" w:cs="Times New Roman"/>
          <w:b/>
          <w:i/>
          <w:sz w:val="20"/>
          <w:szCs w:val="20"/>
          <w:lang w:val="en-GB"/>
        </w:rPr>
        <w:t xml:space="preserve"> in the same </w:t>
      </w:r>
      <w:r w:rsidR="004166A0">
        <w:rPr>
          <w:rFonts w:ascii="Times New Roman" w:hAnsi="Times New Roman" w:cs="Times New Roman"/>
          <w:b/>
          <w:i/>
          <w:sz w:val="20"/>
          <w:szCs w:val="20"/>
          <w:lang w:val="en-GB"/>
        </w:rPr>
        <w:t xml:space="preserve">way as </w:t>
      </w:r>
      <w:r w:rsidR="007D5251" w:rsidRPr="00727050">
        <w:rPr>
          <w:rFonts w:ascii="Times New Roman" w:hAnsi="Times New Roman" w:cs="Times New Roman"/>
          <w:b/>
          <w:i/>
          <w:sz w:val="20"/>
          <w:szCs w:val="20"/>
          <w:lang w:val="en-GB"/>
        </w:rPr>
        <w:t>“</w:t>
      </w:r>
      <w:r w:rsidR="007D5251" w:rsidRPr="00727050">
        <w:rPr>
          <w:rFonts w:ascii="Times New Roman" w:hAnsi="Times New Roman" w:cs="Times New Roman"/>
          <w:b/>
          <w:i/>
          <w:sz w:val="20"/>
          <w:szCs w:val="20"/>
        </w:rPr>
        <w:t>non-eIMTA-capable” devices</w:t>
      </w:r>
      <w:r w:rsidR="007D5251" w:rsidRPr="00727050">
        <w:rPr>
          <w:rFonts w:ascii="Times New Roman" w:hAnsi="Times New Roman" w:cs="Times New Roman"/>
          <w:b/>
          <w:i/>
          <w:sz w:val="20"/>
          <w:szCs w:val="20"/>
          <w:lang w:val="en-GB"/>
        </w:rPr>
        <w:t xml:space="preserve"> are handled by the LTE TDD cell.</w:t>
      </w:r>
      <w:bookmarkEnd w:id="10"/>
    </w:p>
    <w:p w14:paraId="7F560BE3" w14:textId="3C5976B4" w:rsidR="009F0262" w:rsidRPr="00727050" w:rsidRDefault="009F0262" w:rsidP="009F0262">
      <w:pPr>
        <w:jc w:val="both"/>
        <w:rPr>
          <w:rFonts w:ascii="Times New Roman" w:hAnsi="Times New Roman" w:cs="Times New Roman"/>
          <w:b/>
          <w:i/>
          <w:sz w:val="20"/>
          <w:szCs w:val="20"/>
          <w:lang w:val="en-GB"/>
        </w:rPr>
      </w:pPr>
      <w:bookmarkStart w:id="11" w:name="Proposal_7"/>
      <w:r w:rsidRPr="00727050">
        <w:rPr>
          <w:rFonts w:ascii="Times New Roman" w:hAnsi="Times New Roman" w:cs="Times New Roman"/>
          <w:b/>
          <w:i/>
          <w:sz w:val="20"/>
          <w:szCs w:val="20"/>
          <w:lang w:val="en-GB"/>
        </w:rPr>
        <w:t xml:space="preserve">Proposal </w:t>
      </w:r>
      <w:r w:rsidR="002A2D3D" w:rsidRPr="00727050">
        <w:rPr>
          <w:rFonts w:ascii="Times New Roman" w:hAnsi="Times New Roman" w:cs="Times New Roman"/>
          <w:b/>
          <w:i/>
          <w:sz w:val="20"/>
          <w:szCs w:val="20"/>
          <w:lang w:val="en-GB"/>
        </w:rPr>
        <w:t>7</w:t>
      </w:r>
      <w:r w:rsidRPr="00727050">
        <w:rPr>
          <w:rFonts w:ascii="Times New Roman" w:hAnsi="Times New Roman" w:cs="Times New Roman"/>
          <w:b/>
          <w:i/>
          <w:sz w:val="20"/>
          <w:szCs w:val="20"/>
          <w:lang w:val="en-GB"/>
        </w:rPr>
        <w:t xml:space="preserve">: For NB-IoT TDD, do not introduce a valid uplink subframe bit map for all deployment modes. </w:t>
      </w:r>
    </w:p>
    <w:bookmarkEnd w:id="11"/>
    <w:p w14:paraId="2025D2BC" w14:textId="72139074" w:rsidR="000D773A" w:rsidRDefault="000D773A" w:rsidP="000D773A">
      <w:pPr>
        <w:pStyle w:val="Heading3"/>
      </w:pPr>
      <w:r>
        <w:t>Symbol level bitmaps</w:t>
      </w:r>
    </w:p>
    <w:p w14:paraId="1ECA64C3" w14:textId="513331F3" w:rsidR="00E95356" w:rsidRPr="00727050" w:rsidRDefault="00793E38" w:rsidP="006F7A21">
      <w:pPr>
        <w:jc w:val="both"/>
        <w:rPr>
          <w:rFonts w:ascii="Times New Roman" w:hAnsi="Times New Roman" w:cs="Times New Roman"/>
          <w:sz w:val="20"/>
          <w:lang w:val="en-GB"/>
        </w:rPr>
      </w:pPr>
      <w:r w:rsidRPr="00727050">
        <w:rPr>
          <w:rFonts w:ascii="Times New Roman" w:hAnsi="Times New Roman" w:cs="Times New Roman"/>
          <w:sz w:val="20"/>
          <w:lang w:val="en-GB"/>
        </w:rPr>
        <w:t>The motivation for potentially having Symbol level bitmaps is associated with the potential usage of the “special subframes” in TDD NB-IoT.</w:t>
      </w:r>
      <w:r w:rsidR="004B19F7" w:rsidRPr="00727050">
        <w:rPr>
          <w:rFonts w:ascii="Times New Roman" w:hAnsi="Times New Roman" w:cs="Times New Roman"/>
          <w:sz w:val="20"/>
          <w:lang w:val="en-GB"/>
        </w:rPr>
        <w:t xml:space="preserve"> </w:t>
      </w:r>
      <w:r w:rsidR="00E95356" w:rsidRPr="00727050">
        <w:rPr>
          <w:rFonts w:ascii="Times New Roman" w:hAnsi="Times New Roman" w:cs="Times New Roman"/>
          <w:sz w:val="20"/>
          <w:lang w:val="en-GB"/>
        </w:rPr>
        <w:t xml:space="preserve">In </w:t>
      </w:r>
      <w:r w:rsidR="006F7A21" w:rsidRPr="00727050">
        <w:rPr>
          <w:rFonts w:ascii="Times New Roman" w:hAnsi="Times New Roman" w:cs="Times New Roman"/>
          <w:sz w:val="20"/>
          <w:lang w:val="en-GB"/>
        </w:rPr>
        <w:t xml:space="preserve">section 3.1.2, the structure of the special subframe has been depicted in Figure 1, while the figure </w:t>
      </w:r>
      <w:r w:rsidR="00A17635" w:rsidRPr="00727050">
        <w:rPr>
          <w:rFonts w:ascii="Times New Roman" w:hAnsi="Times New Roman" w:cs="Times New Roman"/>
          <w:sz w:val="20"/>
          <w:lang w:val="en-GB"/>
        </w:rPr>
        <w:t xml:space="preserve">below </w:t>
      </w:r>
      <w:r w:rsidR="006F7A21" w:rsidRPr="00727050">
        <w:rPr>
          <w:rFonts w:ascii="Times New Roman" w:hAnsi="Times New Roman" w:cs="Times New Roman"/>
          <w:sz w:val="20"/>
          <w:lang w:val="en-GB"/>
        </w:rPr>
        <w:t xml:space="preserve">shows a symbol level </w:t>
      </w:r>
      <w:r w:rsidR="00A17635" w:rsidRPr="00727050">
        <w:rPr>
          <w:rFonts w:ascii="Times New Roman" w:hAnsi="Times New Roman" w:cs="Times New Roman"/>
          <w:sz w:val="20"/>
          <w:lang w:val="en-GB"/>
        </w:rPr>
        <w:t>picture of</w:t>
      </w:r>
      <w:r w:rsidR="006F7A21" w:rsidRPr="00727050">
        <w:rPr>
          <w:rFonts w:ascii="Times New Roman" w:hAnsi="Times New Roman" w:cs="Times New Roman"/>
          <w:sz w:val="20"/>
          <w:lang w:val="en-GB"/>
        </w:rPr>
        <w:t xml:space="preserve"> the special subframe.</w:t>
      </w:r>
    </w:p>
    <w:p w14:paraId="4E938187" w14:textId="2FA43CF8" w:rsidR="00096217" w:rsidRDefault="00096217" w:rsidP="00096217">
      <w:pPr>
        <w:keepNext/>
        <w:jc w:val="center"/>
      </w:pPr>
      <w:r>
        <w:rPr>
          <w:noProof/>
        </w:rPr>
        <w:drawing>
          <wp:inline distT="0" distB="0" distL="0" distR="0" wp14:anchorId="56A0AAC1" wp14:editId="127F1062">
            <wp:extent cx="1933575" cy="1152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33575" cy="1152525"/>
                    </a:xfrm>
                    <a:prstGeom prst="rect">
                      <a:avLst/>
                    </a:prstGeom>
                    <a:noFill/>
                    <a:ln>
                      <a:noFill/>
                    </a:ln>
                  </pic:spPr>
                </pic:pic>
              </a:graphicData>
            </a:graphic>
          </wp:inline>
        </w:drawing>
      </w:r>
    </w:p>
    <w:p w14:paraId="0BDD0810" w14:textId="6F91428F" w:rsidR="00096217" w:rsidRPr="004B19F7" w:rsidRDefault="00096217" w:rsidP="00096217">
      <w:pPr>
        <w:pStyle w:val="Caption"/>
        <w:jc w:val="center"/>
        <w:rPr>
          <w:b/>
        </w:rPr>
      </w:pPr>
      <w:r w:rsidRPr="004B19F7">
        <w:rPr>
          <w:b/>
        </w:rPr>
        <w:t xml:space="preserve">Figure </w:t>
      </w:r>
      <w:r w:rsidR="00C13619">
        <w:rPr>
          <w:b/>
        </w:rPr>
        <w:t>5</w:t>
      </w:r>
      <w:r w:rsidRPr="004B19F7">
        <w:rPr>
          <w:b/>
        </w:rPr>
        <w:t xml:space="preserve"> </w:t>
      </w:r>
      <w:r>
        <w:rPr>
          <w:b/>
        </w:rPr>
        <w:t>signals</w:t>
      </w:r>
      <w:r w:rsidRPr="004B19F7">
        <w:rPr>
          <w:b/>
        </w:rPr>
        <w:t xml:space="preserve"> carried over the special subframe</w:t>
      </w:r>
    </w:p>
    <w:p w14:paraId="09CE4E6E" w14:textId="02750128" w:rsidR="00AB1E2A" w:rsidRPr="00727050" w:rsidRDefault="00AB1E2A" w:rsidP="006F7A21">
      <w:pPr>
        <w:jc w:val="both"/>
        <w:rPr>
          <w:rFonts w:ascii="Times New Roman" w:hAnsi="Times New Roman" w:cs="Times New Roman"/>
          <w:sz w:val="20"/>
          <w:szCs w:val="20"/>
        </w:rPr>
      </w:pPr>
      <w:r w:rsidRPr="00727050">
        <w:rPr>
          <w:rFonts w:ascii="Times New Roman" w:hAnsi="Times New Roman" w:cs="Times New Roman"/>
          <w:sz w:val="20"/>
          <w:szCs w:val="20"/>
        </w:rPr>
        <w:t>From the figure above, the following points can be highlighted:</w:t>
      </w:r>
    </w:p>
    <w:p w14:paraId="5DBA1526" w14:textId="7D9E839B" w:rsidR="00AB1E2A" w:rsidRPr="00727050" w:rsidRDefault="00AB1E2A" w:rsidP="00AB1E2A">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DwPTS: The first two</w:t>
      </w:r>
      <w:r w:rsidR="00106BC9" w:rsidRPr="00727050">
        <w:rPr>
          <w:rFonts w:ascii="Times New Roman" w:hAnsi="Times New Roman" w:cs="Times New Roman"/>
          <w:sz w:val="20"/>
          <w:szCs w:val="20"/>
        </w:rPr>
        <w:t xml:space="preserve"> symbols are used for carrying </w:t>
      </w:r>
      <w:r w:rsidRPr="00727050">
        <w:rPr>
          <w:rFonts w:ascii="Times New Roman" w:hAnsi="Times New Roman" w:cs="Times New Roman"/>
          <w:sz w:val="20"/>
          <w:szCs w:val="20"/>
        </w:rPr>
        <w:t xml:space="preserve">RS and control information, the third </w:t>
      </w:r>
      <w:r w:rsidR="00392064" w:rsidRPr="00727050">
        <w:rPr>
          <w:rFonts w:ascii="Times New Roman" w:hAnsi="Times New Roman" w:cs="Times New Roman"/>
          <w:sz w:val="20"/>
          <w:szCs w:val="20"/>
        </w:rPr>
        <w:t>one is used for PSS mapping, while</w:t>
      </w:r>
      <w:r w:rsidRPr="00727050">
        <w:rPr>
          <w:rFonts w:ascii="Times New Roman" w:hAnsi="Times New Roman" w:cs="Times New Roman"/>
          <w:sz w:val="20"/>
          <w:szCs w:val="20"/>
        </w:rPr>
        <w:t xml:space="preserve"> the rest of the symbols can be used for transmitting data. </w:t>
      </w:r>
    </w:p>
    <w:p w14:paraId="3E5E1236" w14:textId="040FE531" w:rsidR="00AB1E2A" w:rsidRPr="00727050" w:rsidRDefault="00AB1E2A" w:rsidP="00AB1E2A">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 xml:space="preserve">GAP: It is used for </w:t>
      </w:r>
      <w:r w:rsidRPr="00727050">
        <w:rPr>
          <w:rFonts w:ascii="Times New Roman" w:hAnsi="Times New Roman" w:cs="Times New Roman"/>
          <w:bCs/>
          <w:iCs/>
          <w:sz w:val="20"/>
          <w:szCs w:val="20"/>
        </w:rPr>
        <w:t>Downlink-to-Uplink switching</w:t>
      </w:r>
      <w:r w:rsidR="00392064" w:rsidRPr="00727050">
        <w:rPr>
          <w:rFonts w:ascii="Times New Roman" w:hAnsi="Times New Roman" w:cs="Times New Roman"/>
          <w:bCs/>
          <w:iCs/>
          <w:sz w:val="20"/>
          <w:szCs w:val="20"/>
        </w:rPr>
        <w:t>.</w:t>
      </w:r>
    </w:p>
    <w:p w14:paraId="458FC912" w14:textId="70ACE06D" w:rsidR="00AB1E2A" w:rsidRPr="00727050" w:rsidRDefault="00392064" w:rsidP="00AB1E2A">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Up</w:t>
      </w:r>
      <w:r w:rsidR="00AB1E2A" w:rsidRPr="00727050">
        <w:rPr>
          <w:rFonts w:ascii="Times New Roman" w:hAnsi="Times New Roman" w:cs="Times New Roman"/>
          <w:sz w:val="20"/>
          <w:szCs w:val="20"/>
        </w:rPr>
        <w:t>PTS:</w:t>
      </w:r>
      <w:r w:rsidRPr="00727050">
        <w:rPr>
          <w:rFonts w:ascii="Times New Roman" w:hAnsi="Times New Roman" w:cs="Times New Roman"/>
          <w:sz w:val="20"/>
          <w:szCs w:val="20"/>
        </w:rPr>
        <w:t xml:space="preserve"> </w:t>
      </w:r>
      <w:r w:rsidR="00405737" w:rsidRPr="00727050">
        <w:rPr>
          <w:rFonts w:ascii="Times New Roman" w:hAnsi="Times New Roman" w:cs="Times New Roman"/>
          <w:sz w:val="20"/>
          <w:szCs w:val="20"/>
        </w:rPr>
        <w:t>The</w:t>
      </w:r>
      <w:r w:rsidRPr="00727050">
        <w:rPr>
          <w:rFonts w:ascii="Times New Roman" w:hAnsi="Times New Roman" w:cs="Times New Roman"/>
          <w:sz w:val="20"/>
          <w:szCs w:val="20"/>
        </w:rPr>
        <w:t xml:space="preserve"> SC-FDMA</w:t>
      </w:r>
      <w:r w:rsidR="00405737" w:rsidRPr="00727050">
        <w:rPr>
          <w:rFonts w:ascii="Times New Roman" w:hAnsi="Times New Roman" w:cs="Times New Roman"/>
          <w:sz w:val="20"/>
          <w:szCs w:val="20"/>
        </w:rPr>
        <w:t xml:space="preserve"> symbols </w:t>
      </w:r>
      <w:r w:rsidRPr="00727050">
        <w:rPr>
          <w:rFonts w:ascii="Times New Roman" w:hAnsi="Times New Roman" w:cs="Times New Roman"/>
          <w:sz w:val="20"/>
          <w:szCs w:val="20"/>
        </w:rPr>
        <w:t>can be use</w:t>
      </w:r>
      <w:r w:rsidR="00405737" w:rsidRPr="00727050">
        <w:rPr>
          <w:rFonts w:ascii="Times New Roman" w:hAnsi="Times New Roman" w:cs="Times New Roman"/>
          <w:sz w:val="20"/>
          <w:szCs w:val="20"/>
        </w:rPr>
        <w:t xml:space="preserve">d by the devices for transmitting </w:t>
      </w:r>
      <w:r w:rsidRPr="00727050">
        <w:rPr>
          <w:rFonts w:ascii="Times New Roman" w:hAnsi="Times New Roman" w:cs="Times New Roman"/>
          <w:sz w:val="20"/>
          <w:szCs w:val="20"/>
        </w:rPr>
        <w:t>SRS.</w:t>
      </w:r>
    </w:p>
    <w:p w14:paraId="07A3EED8" w14:textId="0EBE5931" w:rsidR="00392064" w:rsidRPr="00727050" w:rsidRDefault="00392064" w:rsidP="006F7A21">
      <w:pPr>
        <w:jc w:val="both"/>
        <w:rPr>
          <w:rFonts w:ascii="Times New Roman" w:hAnsi="Times New Roman" w:cs="Times New Roman"/>
          <w:sz w:val="20"/>
          <w:szCs w:val="20"/>
          <w:lang w:val="en-GB"/>
        </w:rPr>
      </w:pPr>
      <w:r w:rsidRPr="00727050">
        <w:rPr>
          <w:rFonts w:ascii="Times New Roman" w:hAnsi="Times New Roman" w:cs="Times New Roman"/>
          <w:sz w:val="20"/>
          <w:szCs w:val="20"/>
          <w:lang w:val="en-GB"/>
        </w:rPr>
        <w:t xml:space="preserve">Based on the above analysis, the following consideration </w:t>
      </w:r>
      <w:r w:rsidR="00106BC9" w:rsidRPr="00727050">
        <w:rPr>
          <w:rFonts w:ascii="Times New Roman" w:hAnsi="Times New Roman" w:cs="Times New Roman"/>
          <w:sz w:val="20"/>
          <w:szCs w:val="20"/>
          <w:lang w:val="en-GB"/>
        </w:rPr>
        <w:t xml:space="preserve">on the usage of DwPTS, GAP, and UpPTS </w:t>
      </w:r>
      <w:r w:rsidRPr="00727050">
        <w:rPr>
          <w:rFonts w:ascii="Times New Roman" w:hAnsi="Times New Roman" w:cs="Times New Roman"/>
          <w:sz w:val="20"/>
          <w:szCs w:val="20"/>
          <w:lang w:val="en-GB"/>
        </w:rPr>
        <w:t xml:space="preserve">for TDD NB-IoT </w:t>
      </w:r>
      <w:r w:rsidR="00106BC9" w:rsidRPr="00727050">
        <w:rPr>
          <w:rFonts w:ascii="Times New Roman" w:hAnsi="Times New Roman" w:cs="Times New Roman"/>
          <w:sz w:val="20"/>
          <w:szCs w:val="20"/>
          <w:lang w:val="en-GB"/>
        </w:rPr>
        <w:t>should be taken into account</w:t>
      </w:r>
      <w:r w:rsidRPr="00727050">
        <w:rPr>
          <w:rFonts w:ascii="Times New Roman" w:hAnsi="Times New Roman" w:cs="Times New Roman"/>
          <w:sz w:val="20"/>
          <w:szCs w:val="20"/>
          <w:lang w:val="en-GB"/>
        </w:rPr>
        <w:t>:</w:t>
      </w:r>
    </w:p>
    <w:p w14:paraId="16CAB7C5" w14:textId="331AB65D" w:rsidR="00392064" w:rsidRPr="00727050" w:rsidRDefault="00392064" w:rsidP="00392064">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 xml:space="preserve">DwPTS: </w:t>
      </w:r>
      <w:r w:rsidR="00DB1038" w:rsidRPr="00727050">
        <w:rPr>
          <w:rFonts w:ascii="Times New Roman" w:hAnsi="Times New Roman" w:cs="Times New Roman"/>
          <w:sz w:val="20"/>
          <w:szCs w:val="20"/>
        </w:rPr>
        <w:t xml:space="preserve">PSS spans over </w:t>
      </w:r>
      <w:r w:rsidR="00106BC9" w:rsidRPr="00727050">
        <w:rPr>
          <w:rFonts w:ascii="Times New Roman" w:hAnsi="Times New Roman" w:cs="Times New Roman"/>
          <w:sz w:val="20"/>
          <w:szCs w:val="20"/>
        </w:rPr>
        <w:t xml:space="preserve">a </w:t>
      </w:r>
      <w:r w:rsidR="00DB1038" w:rsidRPr="00727050">
        <w:rPr>
          <w:rFonts w:ascii="Times New Roman" w:hAnsi="Times New Roman" w:cs="Times New Roman"/>
          <w:sz w:val="20"/>
          <w:szCs w:val="20"/>
        </w:rPr>
        <w:t xml:space="preserve">large bandwidth, and wouldn’t be present within the bandwidth used for NB-IoT deployments, thus </w:t>
      </w:r>
      <w:r w:rsidR="00571D01" w:rsidRPr="00727050">
        <w:rPr>
          <w:rFonts w:ascii="Times New Roman" w:hAnsi="Times New Roman" w:cs="Times New Roman"/>
          <w:sz w:val="20"/>
          <w:szCs w:val="20"/>
        </w:rPr>
        <w:t>TDD NB-IoT would</w:t>
      </w:r>
      <w:r w:rsidR="00DB1038" w:rsidRPr="00727050">
        <w:rPr>
          <w:rFonts w:ascii="Times New Roman" w:hAnsi="Times New Roman" w:cs="Times New Roman"/>
          <w:sz w:val="20"/>
          <w:szCs w:val="20"/>
        </w:rPr>
        <w:t xml:space="preserve"> </w:t>
      </w:r>
      <w:r w:rsidR="00405737" w:rsidRPr="00727050">
        <w:rPr>
          <w:rFonts w:ascii="Times New Roman" w:hAnsi="Times New Roman" w:cs="Times New Roman"/>
          <w:sz w:val="20"/>
          <w:szCs w:val="20"/>
        </w:rPr>
        <w:t>require do</w:t>
      </w:r>
      <w:r w:rsidR="00DB1038" w:rsidRPr="00727050">
        <w:rPr>
          <w:rFonts w:ascii="Times New Roman" w:hAnsi="Times New Roman" w:cs="Times New Roman"/>
          <w:sz w:val="20"/>
          <w:szCs w:val="20"/>
        </w:rPr>
        <w:t xml:space="preserve"> not </w:t>
      </w:r>
      <w:r w:rsidR="00571D01" w:rsidRPr="00727050">
        <w:rPr>
          <w:rFonts w:ascii="Times New Roman" w:hAnsi="Times New Roman" w:cs="Times New Roman"/>
          <w:sz w:val="20"/>
          <w:szCs w:val="20"/>
        </w:rPr>
        <w:t>interfere with t</w:t>
      </w:r>
      <w:r w:rsidRPr="00727050">
        <w:rPr>
          <w:rFonts w:ascii="Times New Roman" w:hAnsi="Times New Roman" w:cs="Times New Roman"/>
          <w:sz w:val="20"/>
          <w:szCs w:val="20"/>
        </w:rPr>
        <w:t xml:space="preserve">he first two symbols </w:t>
      </w:r>
      <w:r w:rsidR="00DB1038" w:rsidRPr="00727050">
        <w:rPr>
          <w:rFonts w:ascii="Times New Roman" w:hAnsi="Times New Roman" w:cs="Times New Roman"/>
          <w:sz w:val="20"/>
          <w:szCs w:val="20"/>
        </w:rPr>
        <w:t xml:space="preserve">used </w:t>
      </w:r>
      <w:r w:rsidR="00405737" w:rsidRPr="00727050">
        <w:rPr>
          <w:rFonts w:ascii="Times New Roman" w:hAnsi="Times New Roman" w:cs="Times New Roman"/>
          <w:sz w:val="20"/>
          <w:szCs w:val="20"/>
        </w:rPr>
        <w:t xml:space="preserve">in legacy </w:t>
      </w:r>
      <w:r w:rsidR="00DB1038" w:rsidRPr="00727050">
        <w:rPr>
          <w:rFonts w:ascii="Times New Roman" w:hAnsi="Times New Roman" w:cs="Times New Roman"/>
          <w:sz w:val="20"/>
          <w:szCs w:val="20"/>
        </w:rPr>
        <w:t xml:space="preserve">for </w:t>
      </w:r>
      <w:r w:rsidR="00405737" w:rsidRPr="00727050">
        <w:rPr>
          <w:rFonts w:ascii="Times New Roman" w:hAnsi="Times New Roman" w:cs="Times New Roman"/>
          <w:sz w:val="20"/>
          <w:szCs w:val="20"/>
        </w:rPr>
        <w:t xml:space="preserve">transmitting </w:t>
      </w:r>
      <w:r w:rsidRPr="00727050">
        <w:rPr>
          <w:rFonts w:ascii="Times New Roman" w:hAnsi="Times New Roman" w:cs="Times New Roman"/>
          <w:sz w:val="20"/>
          <w:szCs w:val="20"/>
        </w:rPr>
        <w:t>RS</w:t>
      </w:r>
      <w:r w:rsidR="00571D01" w:rsidRPr="00727050">
        <w:rPr>
          <w:rFonts w:ascii="Times New Roman" w:hAnsi="Times New Roman" w:cs="Times New Roman"/>
          <w:sz w:val="20"/>
          <w:szCs w:val="20"/>
        </w:rPr>
        <w:t xml:space="preserve"> and control information</w:t>
      </w:r>
      <w:r w:rsidRPr="00727050">
        <w:rPr>
          <w:rFonts w:ascii="Times New Roman" w:hAnsi="Times New Roman" w:cs="Times New Roman"/>
          <w:sz w:val="20"/>
          <w:szCs w:val="20"/>
        </w:rPr>
        <w:t xml:space="preserve">. </w:t>
      </w:r>
      <w:r w:rsidR="00DB1038" w:rsidRPr="00727050">
        <w:rPr>
          <w:rFonts w:ascii="Times New Roman" w:hAnsi="Times New Roman" w:cs="Times New Roman"/>
          <w:sz w:val="20"/>
          <w:szCs w:val="20"/>
        </w:rPr>
        <w:t>Hence, t</w:t>
      </w:r>
      <w:r w:rsidR="00571D01" w:rsidRPr="00727050">
        <w:rPr>
          <w:rFonts w:ascii="Times New Roman" w:hAnsi="Times New Roman" w:cs="Times New Roman"/>
          <w:sz w:val="20"/>
          <w:szCs w:val="20"/>
        </w:rPr>
        <w:t>he DwPTS symbols</w:t>
      </w:r>
      <w:r w:rsidR="00DB1038" w:rsidRPr="00727050">
        <w:rPr>
          <w:rFonts w:ascii="Times New Roman" w:hAnsi="Times New Roman" w:cs="Times New Roman"/>
          <w:sz w:val="20"/>
          <w:szCs w:val="20"/>
        </w:rPr>
        <w:t xml:space="preserve"> usable</w:t>
      </w:r>
      <w:r w:rsidR="00571D01" w:rsidRPr="00727050">
        <w:rPr>
          <w:rFonts w:ascii="Times New Roman" w:hAnsi="Times New Roman" w:cs="Times New Roman"/>
          <w:sz w:val="20"/>
          <w:szCs w:val="20"/>
        </w:rPr>
        <w:t xml:space="preserve"> for TDD NB-IoT</w:t>
      </w:r>
      <w:r w:rsidR="00DB1038" w:rsidRPr="00727050">
        <w:rPr>
          <w:rFonts w:ascii="Times New Roman" w:hAnsi="Times New Roman" w:cs="Times New Roman"/>
          <w:sz w:val="20"/>
          <w:szCs w:val="20"/>
        </w:rPr>
        <w:t xml:space="preserve"> could be </w:t>
      </w:r>
      <w:r w:rsidR="00106BC9" w:rsidRPr="00727050">
        <w:rPr>
          <w:rFonts w:ascii="Times New Roman" w:hAnsi="Times New Roman" w:cs="Times New Roman"/>
          <w:sz w:val="20"/>
          <w:szCs w:val="20"/>
        </w:rPr>
        <w:t xml:space="preserve">those </w:t>
      </w:r>
      <w:r w:rsidR="00EB5A13" w:rsidRPr="00727050">
        <w:rPr>
          <w:rFonts w:ascii="Times New Roman" w:hAnsi="Times New Roman" w:cs="Times New Roman"/>
          <w:sz w:val="20"/>
          <w:szCs w:val="20"/>
        </w:rPr>
        <w:t xml:space="preserve">starting </w:t>
      </w:r>
      <w:r w:rsidR="00DB1038" w:rsidRPr="00727050">
        <w:rPr>
          <w:rFonts w:ascii="Times New Roman" w:hAnsi="Times New Roman" w:cs="Times New Roman"/>
          <w:sz w:val="20"/>
          <w:szCs w:val="20"/>
        </w:rPr>
        <w:t xml:space="preserve">from symbol </w:t>
      </w:r>
      <w:r w:rsidR="00106BC9" w:rsidRPr="00727050">
        <w:rPr>
          <w:rFonts w:ascii="Times New Roman" w:hAnsi="Times New Roman" w:cs="Times New Roman"/>
          <w:sz w:val="20"/>
          <w:szCs w:val="20"/>
        </w:rPr>
        <w:t>#</w:t>
      </w:r>
      <w:r w:rsidR="00DB1038" w:rsidRPr="00727050">
        <w:rPr>
          <w:rFonts w:ascii="Times New Roman" w:hAnsi="Times New Roman" w:cs="Times New Roman"/>
          <w:sz w:val="20"/>
          <w:szCs w:val="20"/>
        </w:rPr>
        <w:t>2 onwards</w:t>
      </w:r>
      <w:r w:rsidR="00106BC9" w:rsidRPr="00727050">
        <w:rPr>
          <w:rFonts w:ascii="Times New Roman" w:hAnsi="Times New Roman" w:cs="Times New Roman"/>
          <w:sz w:val="20"/>
          <w:szCs w:val="20"/>
        </w:rPr>
        <w:t>,</w:t>
      </w:r>
      <w:r w:rsidR="00DB1038" w:rsidRPr="00727050">
        <w:rPr>
          <w:rFonts w:ascii="Times New Roman" w:hAnsi="Times New Roman" w:cs="Times New Roman"/>
          <w:sz w:val="20"/>
          <w:szCs w:val="20"/>
        </w:rPr>
        <w:t xml:space="preserve"> without </w:t>
      </w:r>
      <w:r w:rsidR="00106BC9" w:rsidRPr="00727050">
        <w:rPr>
          <w:rFonts w:ascii="Times New Roman" w:hAnsi="Times New Roman" w:cs="Times New Roman"/>
          <w:sz w:val="20"/>
          <w:szCs w:val="20"/>
        </w:rPr>
        <w:t>requiring any symbol level bitmap.</w:t>
      </w:r>
    </w:p>
    <w:p w14:paraId="79F8B1CB" w14:textId="6B1E695B" w:rsidR="00392064" w:rsidRPr="00727050" w:rsidRDefault="00392064" w:rsidP="00392064">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 xml:space="preserve">GAP: </w:t>
      </w:r>
      <w:r w:rsidR="00106BC9" w:rsidRPr="00727050">
        <w:rPr>
          <w:rFonts w:ascii="Times New Roman" w:hAnsi="Times New Roman" w:cs="Times New Roman"/>
          <w:bCs/>
          <w:iCs/>
          <w:sz w:val="20"/>
          <w:szCs w:val="20"/>
        </w:rPr>
        <w:t>According with the LS response from RAN4, all the configurable gap lengths can be supported for TDD NB-IoT</w:t>
      </w:r>
    </w:p>
    <w:p w14:paraId="54C99F8C" w14:textId="361358E3" w:rsidR="00392064" w:rsidRPr="00727050" w:rsidRDefault="00392064" w:rsidP="00DC0D1C">
      <w:pPr>
        <w:pStyle w:val="ListParagraph"/>
        <w:numPr>
          <w:ilvl w:val="0"/>
          <w:numId w:val="27"/>
        </w:numPr>
        <w:jc w:val="both"/>
        <w:rPr>
          <w:rFonts w:ascii="Times New Roman" w:hAnsi="Times New Roman" w:cs="Times New Roman"/>
          <w:sz w:val="20"/>
          <w:szCs w:val="20"/>
        </w:rPr>
      </w:pPr>
      <w:r w:rsidRPr="00727050">
        <w:rPr>
          <w:rFonts w:ascii="Times New Roman" w:hAnsi="Times New Roman" w:cs="Times New Roman"/>
          <w:sz w:val="20"/>
          <w:szCs w:val="20"/>
        </w:rPr>
        <w:t>UpPTS:</w:t>
      </w:r>
      <w:r w:rsidR="00106BC9" w:rsidRPr="00727050">
        <w:rPr>
          <w:rFonts w:ascii="Times New Roman" w:hAnsi="Times New Roman" w:cs="Times New Roman"/>
          <w:sz w:val="20"/>
          <w:szCs w:val="20"/>
        </w:rPr>
        <w:t xml:space="preserve"> </w:t>
      </w:r>
      <w:r w:rsidR="00DC0D1C" w:rsidRPr="00727050">
        <w:rPr>
          <w:rFonts w:ascii="Times New Roman" w:hAnsi="Times New Roman" w:cs="Times New Roman"/>
          <w:sz w:val="20"/>
          <w:szCs w:val="20"/>
        </w:rPr>
        <w:t>An LTE device may be configured to transmit SRS on a PRB that is used as a NB-IoT carrier, in which case collisions can occur. Optimization have been made in NB-IoT for avoiding collisions, but collisions can still occur, which are handled by network using for example puncturing. Similarly, and given that for TDD NB-IoT it would be valuable to use resource</w:t>
      </w:r>
      <w:r w:rsidR="00405737" w:rsidRPr="00727050">
        <w:rPr>
          <w:rFonts w:ascii="Times New Roman" w:hAnsi="Times New Roman" w:cs="Times New Roman"/>
          <w:sz w:val="20"/>
          <w:szCs w:val="20"/>
        </w:rPr>
        <w:t>s</w:t>
      </w:r>
      <w:r w:rsidR="00DC0D1C" w:rsidRPr="00727050">
        <w:rPr>
          <w:rFonts w:ascii="Times New Roman" w:hAnsi="Times New Roman" w:cs="Times New Roman"/>
          <w:sz w:val="20"/>
          <w:szCs w:val="20"/>
        </w:rPr>
        <w:t xml:space="preserve"> in UpPTS, it can be let up to network handl</w:t>
      </w:r>
      <w:r w:rsidR="005E21D3" w:rsidRPr="00727050">
        <w:rPr>
          <w:rFonts w:ascii="Times New Roman" w:hAnsi="Times New Roman" w:cs="Times New Roman"/>
          <w:sz w:val="20"/>
          <w:szCs w:val="20"/>
        </w:rPr>
        <w:t>ing</w:t>
      </w:r>
      <w:r w:rsidR="00DC0D1C" w:rsidRPr="00727050">
        <w:rPr>
          <w:rFonts w:ascii="Times New Roman" w:hAnsi="Times New Roman" w:cs="Times New Roman"/>
          <w:sz w:val="20"/>
          <w:szCs w:val="20"/>
        </w:rPr>
        <w:t xml:space="preserve"> the </w:t>
      </w:r>
      <w:r w:rsidR="00405737" w:rsidRPr="00727050">
        <w:rPr>
          <w:rFonts w:ascii="Times New Roman" w:hAnsi="Times New Roman" w:cs="Times New Roman"/>
          <w:sz w:val="20"/>
          <w:szCs w:val="20"/>
        </w:rPr>
        <w:t>potential collisions with SRS.</w:t>
      </w:r>
    </w:p>
    <w:p w14:paraId="4B5949AF" w14:textId="1DDEDD40" w:rsidR="00405737" w:rsidRPr="00727050" w:rsidRDefault="00405737" w:rsidP="006F7A21">
      <w:pPr>
        <w:jc w:val="both"/>
        <w:rPr>
          <w:rFonts w:ascii="Times New Roman" w:hAnsi="Times New Roman" w:cs="Times New Roman"/>
          <w:b/>
          <w:i/>
          <w:sz w:val="20"/>
          <w:szCs w:val="20"/>
          <w:lang w:val="en-GB"/>
        </w:rPr>
      </w:pPr>
      <w:bookmarkStart w:id="12" w:name="Observation_3"/>
      <w:r w:rsidRPr="00727050">
        <w:rPr>
          <w:rFonts w:ascii="Times New Roman" w:hAnsi="Times New Roman" w:cs="Times New Roman"/>
          <w:b/>
          <w:i/>
          <w:sz w:val="20"/>
          <w:szCs w:val="20"/>
          <w:lang w:val="en-GB"/>
        </w:rPr>
        <w:t>Observation</w:t>
      </w:r>
      <w:r w:rsidR="002A2D3D" w:rsidRPr="00727050">
        <w:rPr>
          <w:rFonts w:ascii="Times New Roman" w:hAnsi="Times New Roman" w:cs="Times New Roman"/>
          <w:b/>
          <w:i/>
          <w:sz w:val="20"/>
          <w:szCs w:val="20"/>
          <w:lang w:val="en-GB"/>
        </w:rPr>
        <w:t xml:space="preserve"> 3</w:t>
      </w:r>
      <w:r w:rsidRPr="00727050">
        <w:rPr>
          <w:rFonts w:ascii="Times New Roman" w:hAnsi="Times New Roman" w:cs="Times New Roman"/>
          <w:b/>
          <w:i/>
          <w:sz w:val="20"/>
          <w:szCs w:val="20"/>
          <w:lang w:val="en-GB"/>
        </w:rPr>
        <w:t xml:space="preserve">: </w:t>
      </w:r>
      <w:r w:rsidRPr="00727050">
        <w:rPr>
          <w:rFonts w:ascii="Times New Roman" w:hAnsi="Times New Roman" w:cs="Times New Roman"/>
          <w:b/>
          <w:sz w:val="20"/>
          <w:szCs w:val="20"/>
        </w:rPr>
        <w:t>For DwPTS, TDD NB-IoT would require do not interfere with the first two symbols used in legacy for transmitting RS and control information. Hence, the DwPTS s</w:t>
      </w:r>
      <w:bookmarkStart w:id="13" w:name="_Hlk497999412"/>
      <w:r w:rsidRPr="00727050">
        <w:rPr>
          <w:rFonts w:ascii="Times New Roman" w:hAnsi="Times New Roman" w:cs="Times New Roman"/>
          <w:b/>
          <w:sz w:val="20"/>
          <w:szCs w:val="20"/>
        </w:rPr>
        <w:t xml:space="preserve">ymbols usable for TDD NB-IoT could be those </w:t>
      </w:r>
      <w:r w:rsidR="00EB5A13" w:rsidRPr="00727050">
        <w:rPr>
          <w:rFonts w:ascii="Times New Roman" w:hAnsi="Times New Roman" w:cs="Times New Roman"/>
          <w:b/>
          <w:sz w:val="20"/>
          <w:szCs w:val="20"/>
        </w:rPr>
        <w:t xml:space="preserve">starting </w:t>
      </w:r>
      <w:r w:rsidRPr="00727050">
        <w:rPr>
          <w:rFonts w:ascii="Times New Roman" w:hAnsi="Times New Roman" w:cs="Times New Roman"/>
          <w:b/>
          <w:sz w:val="20"/>
          <w:szCs w:val="20"/>
        </w:rPr>
        <w:t>from symbol #2 onwards</w:t>
      </w:r>
      <w:bookmarkEnd w:id="13"/>
      <w:r w:rsidRPr="00727050">
        <w:rPr>
          <w:rFonts w:ascii="Times New Roman" w:hAnsi="Times New Roman" w:cs="Times New Roman"/>
          <w:b/>
          <w:sz w:val="20"/>
          <w:szCs w:val="20"/>
        </w:rPr>
        <w:t>, without requiring any symbol level bitmap.</w:t>
      </w:r>
      <w:bookmarkEnd w:id="12"/>
    </w:p>
    <w:p w14:paraId="4A1A75CC" w14:textId="14702F47" w:rsidR="00405737" w:rsidRPr="00727050" w:rsidRDefault="00405737" w:rsidP="006F7A21">
      <w:pPr>
        <w:jc w:val="both"/>
        <w:rPr>
          <w:rFonts w:ascii="Times New Roman" w:hAnsi="Times New Roman" w:cs="Times New Roman"/>
          <w:b/>
          <w:sz w:val="20"/>
          <w:szCs w:val="20"/>
          <w:lang w:val="en-GB"/>
        </w:rPr>
      </w:pPr>
      <w:bookmarkStart w:id="14" w:name="Observation_4"/>
      <w:r w:rsidRPr="00727050">
        <w:rPr>
          <w:rFonts w:ascii="Times New Roman" w:hAnsi="Times New Roman" w:cs="Times New Roman"/>
          <w:b/>
          <w:i/>
          <w:sz w:val="20"/>
          <w:szCs w:val="20"/>
          <w:lang w:val="en-GB"/>
        </w:rPr>
        <w:lastRenderedPageBreak/>
        <w:t>Observation</w:t>
      </w:r>
      <w:r w:rsidR="002A2D3D" w:rsidRPr="00727050">
        <w:rPr>
          <w:rFonts w:ascii="Times New Roman" w:hAnsi="Times New Roman" w:cs="Times New Roman"/>
          <w:b/>
          <w:i/>
          <w:sz w:val="20"/>
          <w:szCs w:val="20"/>
          <w:lang w:val="en-GB"/>
        </w:rPr>
        <w:t xml:space="preserve"> 4</w:t>
      </w:r>
      <w:r w:rsidRPr="00727050">
        <w:rPr>
          <w:rFonts w:ascii="Times New Roman" w:hAnsi="Times New Roman" w:cs="Times New Roman"/>
          <w:b/>
          <w:i/>
          <w:sz w:val="20"/>
          <w:szCs w:val="20"/>
          <w:lang w:val="en-GB"/>
        </w:rPr>
        <w:t xml:space="preserve">: </w:t>
      </w:r>
      <w:r w:rsidRPr="00727050">
        <w:rPr>
          <w:rFonts w:ascii="Times New Roman" w:hAnsi="Times New Roman" w:cs="Times New Roman"/>
          <w:b/>
          <w:sz w:val="20"/>
          <w:szCs w:val="20"/>
        </w:rPr>
        <w:t>For UpPTS, the SC-FDMA symbols can be used by the devices for transmitting SRS</w:t>
      </w:r>
      <w:r w:rsidR="005E21D3" w:rsidRPr="00727050">
        <w:rPr>
          <w:rFonts w:ascii="Times New Roman" w:hAnsi="Times New Roman" w:cs="Times New Roman"/>
          <w:b/>
          <w:sz w:val="20"/>
          <w:szCs w:val="20"/>
        </w:rPr>
        <w:t xml:space="preserve">. </w:t>
      </w:r>
      <w:r w:rsidR="0059052A" w:rsidRPr="00727050">
        <w:rPr>
          <w:rFonts w:ascii="Times New Roman" w:hAnsi="Times New Roman" w:cs="Times New Roman"/>
          <w:b/>
          <w:sz w:val="20"/>
          <w:szCs w:val="20"/>
        </w:rPr>
        <w:t>In today’s NB-IoT systems, collisions with SRS can occur, which is sorted out by the network (e.g., via puncturing). Similarly, and given that for TDD NB-IoT it would be valuable to use the resources in UpPTS, it can be let up to network to handle the potential collisions with SRS as it does today</w:t>
      </w:r>
      <w:r w:rsidR="005E21D3" w:rsidRPr="00727050">
        <w:rPr>
          <w:rFonts w:ascii="Times New Roman" w:hAnsi="Times New Roman" w:cs="Times New Roman"/>
          <w:b/>
          <w:sz w:val="20"/>
          <w:szCs w:val="20"/>
        </w:rPr>
        <w:t>.</w:t>
      </w:r>
    </w:p>
    <w:p w14:paraId="04AA597B" w14:textId="2F539A22" w:rsidR="00793E38" w:rsidRPr="00727050" w:rsidRDefault="0059052A" w:rsidP="002A2D3D">
      <w:pPr>
        <w:jc w:val="both"/>
        <w:rPr>
          <w:rFonts w:ascii="Times New Roman" w:hAnsi="Times New Roman" w:cs="Times New Roman"/>
          <w:sz w:val="20"/>
          <w:szCs w:val="20"/>
          <w:lang w:val="en-GB"/>
        </w:rPr>
      </w:pPr>
      <w:bookmarkStart w:id="15" w:name="Proposal_8"/>
      <w:bookmarkEnd w:id="14"/>
      <w:r w:rsidRPr="00727050">
        <w:rPr>
          <w:rFonts w:ascii="Times New Roman" w:hAnsi="Times New Roman" w:cs="Times New Roman"/>
          <w:b/>
          <w:i/>
          <w:sz w:val="20"/>
          <w:szCs w:val="20"/>
          <w:lang w:val="en-GB"/>
        </w:rPr>
        <w:t>P</w:t>
      </w:r>
      <w:r w:rsidR="00CA44EE">
        <w:rPr>
          <w:rFonts w:ascii="Times New Roman" w:hAnsi="Times New Roman" w:cs="Times New Roman"/>
          <w:b/>
          <w:i/>
          <w:sz w:val="20"/>
          <w:szCs w:val="20"/>
          <w:lang w:val="en-GB"/>
        </w:rPr>
        <w:t>roposal 8</w:t>
      </w:r>
      <w:r w:rsidRPr="00727050">
        <w:rPr>
          <w:rFonts w:ascii="Times New Roman" w:hAnsi="Times New Roman" w:cs="Times New Roman"/>
          <w:b/>
          <w:i/>
          <w:sz w:val="20"/>
          <w:szCs w:val="20"/>
          <w:lang w:val="en-GB"/>
        </w:rPr>
        <w:t>: Symbol level bitmaps on special subf</w:t>
      </w:r>
      <w:r w:rsidR="002A2D3D" w:rsidRPr="00727050">
        <w:rPr>
          <w:rFonts w:ascii="Times New Roman" w:hAnsi="Times New Roman" w:cs="Times New Roman"/>
          <w:b/>
          <w:i/>
          <w:sz w:val="20"/>
          <w:szCs w:val="20"/>
          <w:lang w:val="en-GB"/>
        </w:rPr>
        <w:t>rames are not needed.</w:t>
      </w:r>
    </w:p>
    <w:bookmarkEnd w:id="15"/>
    <w:p w14:paraId="1956FD01" w14:textId="390D880B" w:rsidR="00BA0384" w:rsidRDefault="00BA0384" w:rsidP="00BA0384">
      <w:pPr>
        <w:pStyle w:val="Heading2"/>
      </w:pPr>
      <w:r>
        <w:t xml:space="preserve">MCL relaxations </w:t>
      </w:r>
      <w:r w:rsidR="001C57F4">
        <w:t>and</w:t>
      </w:r>
      <w:r>
        <w:t xml:space="preserve"> capacity targets</w:t>
      </w:r>
    </w:p>
    <w:p w14:paraId="3934C024" w14:textId="08793F99" w:rsidR="00BA0384" w:rsidRPr="004B19F7" w:rsidRDefault="00BA0384" w:rsidP="007B0268">
      <w:pPr>
        <w:jc w:val="both"/>
        <w:rPr>
          <w:rFonts w:ascii="Times New Roman" w:hAnsi="Times New Roman" w:cs="Times New Roman"/>
          <w:bCs/>
          <w:sz w:val="20"/>
          <w:szCs w:val="20"/>
        </w:rPr>
      </w:pPr>
      <w:r w:rsidRPr="004B19F7">
        <w:rPr>
          <w:rFonts w:ascii="Times New Roman" w:hAnsi="Times New Roman" w:cs="Times New Roman"/>
          <w:bCs/>
          <w:sz w:val="20"/>
          <w:szCs w:val="20"/>
        </w:rPr>
        <w:t>The coexistence of DL and UL transmissions within the same radio frame will inherently impose significant limitations in terms of resource mapping, which in the end will lead to obtain a different performance as compared to FDD even if the same NB-IoT setup were used. This is the case of the resulting MCL and throughput, which will be impacted by the transmission gaps introduced by the TDD configurations.</w:t>
      </w:r>
    </w:p>
    <w:p w14:paraId="2E89784C" w14:textId="4BBFC582" w:rsidR="00B6521C" w:rsidRPr="004B19F7" w:rsidRDefault="00B6521C" w:rsidP="007B0268">
      <w:pPr>
        <w:jc w:val="both"/>
        <w:rPr>
          <w:rFonts w:ascii="Times New Roman" w:hAnsi="Times New Roman" w:cs="Times New Roman"/>
          <w:bCs/>
          <w:sz w:val="20"/>
          <w:szCs w:val="20"/>
        </w:rPr>
      </w:pPr>
      <w:r w:rsidRPr="004B19F7">
        <w:rPr>
          <w:rFonts w:ascii="Times New Roman" w:hAnsi="Times New Roman" w:cs="Times New Roman"/>
          <w:bCs/>
          <w:sz w:val="20"/>
          <w:szCs w:val="20"/>
        </w:rPr>
        <w:t>In RAN1 #90, the following statements associated to MCL targets were agreed:</w:t>
      </w:r>
    </w:p>
    <w:p w14:paraId="2DFC90CE" w14:textId="77777777" w:rsidR="00B6521C" w:rsidRPr="00694505" w:rsidRDefault="00B6521C" w:rsidP="00B6521C">
      <w:pPr>
        <w:rPr>
          <w:rFonts w:ascii="Times New Roman" w:hAnsi="Times New Roman" w:cs="Times New Roman"/>
          <w:bCs/>
          <w:i/>
          <w:sz w:val="20"/>
          <w:szCs w:val="20"/>
        </w:rPr>
      </w:pPr>
      <w:r w:rsidRPr="00694505">
        <w:rPr>
          <w:rFonts w:ascii="Times New Roman" w:hAnsi="Times New Roman" w:cs="Times New Roman"/>
          <w:bCs/>
          <w:i/>
          <w:sz w:val="20"/>
          <w:szCs w:val="20"/>
          <w:highlight w:val="green"/>
        </w:rPr>
        <w:t>Agreements:</w:t>
      </w:r>
    </w:p>
    <w:p w14:paraId="4D4C0A8C" w14:textId="77777777" w:rsidR="00B6521C" w:rsidRPr="004B19F7" w:rsidRDefault="00B6521C" w:rsidP="00185920">
      <w:pPr>
        <w:numPr>
          <w:ilvl w:val="0"/>
          <w:numId w:val="13"/>
        </w:numPr>
        <w:rPr>
          <w:rFonts w:ascii="Times New Roman" w:hAnsi="Times New Roman" w:cs="Times New Roman"/>
          <w:bCs/>
          <w:i/>
          <w:sz w:val="20"/>
          <w:szCs w:val="20"/>
        </w:rPr>
      </w:pPr>
      <w:r w:rsidRPr="004B19F7">
        <w:rPr>
          <w:rFonts w:ascii="Times New Roman" w:hAnsi="Times New Roman" w:cs="Times New Roman"/>
          <w:bCs/>
          <w:i/>
          <w:sz w:val="20"/>
          <w:szCs w:val="20"/>
        </w:rPr>
        <w:t>MCL target of 164 dB at an ‘application layer’ data rate of 160 bps is targeted for at least one UL:DL configuration (FFS which one or more than one).</w:t>
      </w:r>
    </w:p>
    <w:p w14:paraId="793D8348" w14:textId="77777777" w:rsidR="00B6521C" w:rsidRPr="004B19F7" w:rsidRDefault="00B6521C" w:rsidP="00185920">
      <w:pPr>
        <w:numPr>
          <w:ilvl w:val="1"/>
          <w:numId w:val="13"/>
        </w:numPr>
        <w:rPr>
          <w:rFonts w:ascii="Times New Roman" w:hAnsi="Times New Roman" w:cs="Times New Roman"/>
          <w:bCs/>
          <w:i/>
          <w:sz w:val="20"/>
          <w:szCs w:val="20"/>
        </w:rPr>
      </w:pPr>
      <w:r w:rsidRPr="004B19F7">
        <w:rPr>
          <w:rFonts w:ascii="Times New Roman" w:hAnsi="Times New Roman" w:cs="Times New Roman"/>
          <w:bCs/>
          <w:i/>
          <w:sz w:val="20"/>
          <w:szCs w:val="20"/>
        </w:rPr>
        <w:t>NOTE: The at least one UL:DL configuration may or may not be different for UL MCL target than DL MCL target</w:t>
      </w:r>
    </w:p>
    <w:p w14:paraId="6948726B" w14:textId="36F2375E" w:rsidR="00465035" w:rsidRPr="004B19F7" w:rsidRDefault="00465035"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According to the WID that </w:t>
      </w:r>
    </w:p>
    <w:p w14:paraId="26444F08" w14:textId="77777777" w:rsidR="00465035" w:rsidRPr="004B19F7" w:rsidRDefault="00465035" w:rsidP="001657E8">
      <w:pPr>
        <w:spacing w:after="0" w:line="240" w:lineRule="auto"/>
        <w:jc w:val="both"/>
        <w:rPr>
          <w:rFonts w:ascii="Times New Roman" w:eastAsia="Times New Roman" w:hAnsi="Times New Roman" w:cs="Times New Roman"/>
          <w:sz w:val="20"/>
        </w:rPr>
      </w:pPr>
    </w:p>
    <w:p w14:paraId="09EFD986" w14:textId="265B6A41" w:rsidR="004A7990" w:rsidRPr="004B19F7" w:rsidRDefault="00465035"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w:t>
      </w:r>
      <w:r w:rsidRPr="004B19F7">
        <w:rPr>
          <w:rFonts w:ascii="Times New Roman" w:eastAsia="Times New Roman" w:hAnsi="Times New Roman" w:cs="Times New Roman"/>
          <w:i/>
          <w:sz w:val="20"/>
        </w:rPr>
        <w:t>Relaxations of MCL and/or latency and/or capacity targets to be considered by RAN1</w:t>
      </w:r>
      <w:r w:rsidRPr="004B19F7">
        <w:rPr>
          <w:rFonts w:ascii="Times New Roman" w:eastAsia="Times New Roman" w:hAnsi="Times New Roman" w:cs="Times New Roman"/>
          <w:sz w:val="20"/>
        </w:rPr>
        <w:t>.”</w:t>
      </w:r>
    </w:p>
    <w:p w14:paraId="74E841AC" w14:textId="77777777" w:rsidR="00465035" w:rsidRPr="004B19F7" w:rsidRDefault="00465035" w:rsidP="001657E8">
      <w:pPr>
        <w:spacing w:after="0" w:line="240" w:lineRule="auto"/>
        <w:jc w:val="both"/>
        <w:rPr>
          <w:rFonts w:ascii="Times New Roman" w:eastAsia="Times New Roman" w:hAnsi="Times New Roman" w:cs="Times New Roman"/>
          <w:sz w:val="20"/>
        </w:rPr>
      </w:pPr>
    </w:p>
    <w:p w14:paraId="1A1AD9E6" w14:textId="1769F81F" w:rsidR="004A7990" w:rsidRPr="004B19F7" w:rsidRDefault="00465035"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Since t</w:t>
      </w:r>
      <w:r w:rsidR="004A7990" w:rsidRPr="004B19F7">
        <w:rPr>
          <w:rFonts w:ascii="Times New Roman" w:eastAsia="Times New Roman" w:hAnsi="Times New Roman" w:cs="Times New Roman"/>
          <w:sz w:val="20"/>
        </w:rPr>
        <w:t>he coverage enhancement of NB-IoT is done through repetitions</w:t>
      </w:r>
      <w:r w:rsidRPr="004B19F7">
        <w:rPr>
          <w:rFonts w:ascii="Times New Roman" w:eastAsia="Times New Roman" w:hAnsi="Times New Roman" w:cs="Times New Roman"/>
          <w:sz w:val="20"/>
        </w:rPr>
        <w:t xml:space="preserve">, </w:t>
      </w:r>
      <w:r w:rsidR="004A7990" w:rsidRPr="004B19F7">
        <w:rPr>
          <w:rFonts w:ascii="Times New Roman" w:eastAsia="Times New Roman" w:hAnsi="Times New Roman" w:cs="Times New Roman"/>
          <w:sz w:val="20"/>
        </w:rPr>
        <w:t xml:space="preserve">it is expected that the number of repetitions of NB-IoT TDD design </w:t>
      </w:r>
      <w:r w:rsidRPr="004B19F7">
        <w:rPr>
          <w:rFonts w:ascii="Times New Roman" w:eastAsia="Times New Roman" w:hAnsi="Times New Roman" w:cs="Times New Roman"/>
          <w:sz w:val="20"/>
        </w:rPr>
        <w:t xml:space="preserve">is not reduced comparing to NB-IoT FDD. Therefore, the MCL target of 164 dB can be met without any problem. However, the latency requirement may need to be relaxed, at least for some of the TDD configurations. </w:t>
      </w:r>
    </w:p>
    <w:p w14:paraId="77E2ABF3" w14:textId="77777777" w:rsidR="00465035" w:rsidRPr="004B19F7" w:rsidRDefault="00465035" w:rsidP="001657E8">
      <w:pPr>
        <w:spacing w:after="0" w:line="240" w:lineRule="auto"/>
        <w:jc w:val="both"/>
        <w:rPr>
          <w:rFonts w:ascii="Times New Roman" w:eastAsia="Times New Roman" w:hAnsi="Times New Roman" w:cs="Times New Roman"/>
          <w:sz w:val="20"/>
        </w:rPr>
      </w:pPr>
    </w:p>
    <w:p w14:paraId="3974D5D8" w14:textId="0C610006" w:rsidR="004A7990" w:rsidRPr="004B19F7" w:rsidRDefault="004A7990"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Following the </w:t>
      </w:r>
      <w:r w:rsidR="00465035" w:rsidRPr="004B19F7">
        <w:rPr>
          <w:rFonts w:ascii="Times New Roman" w:eastAsia="Times New Roman" w:hAnsi="Times New Roman" w:cs="Times New Roman"/>
          <w:sz w:val="20"/>
        </w:rPr>
        <w:t xml:space="preserve">same </w:t>
      </w:r>
      <w:r w:rsidRPr="004B19F7">
        <w:rPr>
          <w:rFonts w:ascii="Times New Roman" w:eastAsia="Times New Roman" w:hAnsi="Times New Roman" w:cs="Times New Roman"/>
          <w:sz w:val="20"/>
        </w:rPr>
        <w:t>methodology</w:t>
      </w:r>
      <w:r w:rsidR="00465035" w:rsidRPr="004B19F7">
        <w:rPr>
          <w:rFonts w:ascii="Times New Roman" w:eastAsia="Times New Roman" w:hAnsi="Times New Roman" w:cs="Times New Roman"/>
          <w:sz w:val="20"/>
        </w:rPr>
        <w:t xml:space="preserve"> used in NB-IoT FDD [</w:t>
      </w:r>
      <w:r w:rsidR="00F34AB6">
        <w:rPr>
          <w:rFonts w:ascii="Times New Roman" w:eastAsia="Times New Roman" w:hAnsi="Times New Roman" w:cs="Times New Roman"/>
          <w:sz w:val="20"/>
        </w:rPr>
        <w:t>9</w:t>
      </w:r>
      <w:r w:rsidR="00465035" w:rsidRPr="004B19F7">
        <w:rPr>
          <w:rFonts w:ascii="Times New Roman" w:eastAsia="Times New Roman" w:hAnsi="Times New Roman" w:cs="Times New Roman"/>
          <w:sz w:val="20"/>
        </w:rPr>
        <w:t>]</w:t>
      </w:r>
      <w:r w:rsidRPr="004B19F7">
        <w:rPr>
          <w:rFonts w:ascii="Times New Roman" w:eastAsia="Times New Roman" w:hAnsi="Times New Roman" w:cs="Times New Roman"/>
          <w:sz w:val="20"/>
        </w:rPr>
        <w:t xml:space="preserve">, we evaluate the </w:t>
      </w:r>
      <w:r w:rsidR="00465035" w:rsidRPr="004B19F7">
        <w:rPr>
          <w:rFonts w:ascii="Times New Roman" w:eastAsia="Times New Roman" w:hAnsi="Times New Roman" w:cs="Times New Roman"/>
          <w:sz w:val="20"/>
        </w:rPr>
        <w:t>exceptional report latency for the</w:t>
      </w:r>
      <w:r w:rsidR="003D58BB" w:rsidRPr="004B19F7">
        <w:rPr>
          <w:rFonts w:ascii="Times New Roman" w:eastAsia="Times New Roman" w:hAnsi="Times New Roman" w:cs="Times New Roman"/>
          <w:sz w:val="20"/>
        </w:rPr>
        <w:t xml:space="preserve"> TDD configurations. In </w:t>
      </w:r>
      <w:r w:rsidR="003D58BB">
        <w:rPr>
          <w:rFonts w:ascii="Times New Roman" w:eastAsia="Times New Roman" w:hAnsi="Times New Roman" w:cs="Times New Roman"/>
          <w:sz w:val="20"/>
        </w:rPr>
        <w:fldChar w:fldCharType="begin"/>
      </w:r>
      <w:r w:rsidR="003D58BB" w:rsidRPr="004B19F7">
        <w:rPr>
          <w:rFonts w:ascii="Times New Roman" w:eastAsia="Times New Roman" w:hAnsi="Times New Roman" w:cs="Times New Roman"/>
          <w:sz w:val="20"/>
        </w:rPr>
        <w:instrText xml:space="preserve"> REF _Ref494195452 \h  \* MERGEFORMAT </w:instrText>
      </w:r>
      <w:r w:rsidR="003D58BB">
        <w:rPr>
          <w:rFonts w:ascii="Times New Roman" w:eastAsia="Times New Roman" w:hAnsi="Times New Roman" w:cs="Times New Roman"/>
          <w:sz w:val="20"/>
        </w:rPr>
      </w:r>
      <w:r w:rsidR="003D58BB">
        <w:rPr>
          <w:rFonts w:ascii="Times New Roman" w:eastAsia="Times New Roman" w:hAnsi="Times New Roman" w:cs="Times New Roman"/>
          <w:sz w:val="20"/>
        </w:rPr>
        <w:fldChar w:fldCharType="separate"/>
      </w:r>
      <w:r w:rsidR="00D46219" w:rsidRPr="00D46219">
        <w:rPr>
          <w:rFonts w:ascii="Times New Roman" w:eastAsia="Times New Roman" w:hAnsi="Times New Roman" w:cs="Times New Roman"/>
          <w:sz w:val="20"/>
        </w:rPr>
        <w:t xml:space="preserve">Figure </w:t>
      </w:r>
      <w:r w:rsidR="003D58BB">
        <w:rPr>
          <w:rFonts w:ascii="Times New Roman" w:eastAsia="Times New Roman" w:hAnsi="Times New Roman" w:cs="Times New Roman"/>
          <w:sz w:val="20"/>
        </w:rPr>
        <w:fldChar w:fldCharType="end"/>
      </w:r>
      <w:r w:rsidR="00465035" w:rsidRPr="004B19F7">
        <w:rPr>
          <w:rFonts w:ascii="Times New Roman" w:eastAsia="Times New Roman" w:hAnsi="Times New Roman" w:cs="Times New Roman"/>
          <w:sz w:val="20"/>
        </w:rPr>
        <w:t>, the different steps of delivering an exception report are depicted. We only show the latency evaluation at the</w:t>
      </w:r>
      <w:r w:rsidR="003D58BB" w:rsidRPr="004B19F7">
        <w:rPr>
          <w:rFonts w:ascii="Times New Roman" w:eastAsia="Times New Roman" w:hAnsi="Times New Roman" w:cs="Times New Roman"/>
          <w:sz w:val="20"/>
        </w:rPr>
        <w:t xml:space="preserve"> 164 dB MCL standalone case, and we show the 90% confidence level.  </w:t>
      </w:r>
    </w:p>
    <w:p w14:paraId="2AAAC151" w14:textId="7F3686DB" w:rsidR="003D58BB" w:rsidRPr="004B19F7" w:rsidRDefault="003D58BB" w:rsidP="001657E8">
      <w:pPr>
        <w:spacing w:after="0" w:line="240" w:lineRule="auto"/>
        <w:jc w:val="both"/>
        <w:rPr>
          <w:rFonts w:ascii="Times New Roman" w:eastAsia="Times New Roman" w:hAnsi="Times New Roman" w:cs="Times New Roman"/>
          <w:sz w:val="20"/>
        </w:rPr>
      </w:pPr>
    </w:p>
    <w:p w14:paraId="383E136B" w14:textId="77777777" w:rsidR="003D58BB" w:rsidRDefault="003D58BB" w:rsidP="003D58BB">
      <w:pPr>
        <w:keepNext/>
        <w:spacing w:after="0" w:line="240" w:lineRule="auto"/>
        <w:jc w:val="center"/>
      </w:pPr>
      <w:r>
        <w:object w:dxaOrig="6572" w:dyaOrig="825" w14:anchorId="4596184A">
          <v:shape id="_x0000_i1037" type="#_x0000_t75" style="width:385.25pt;height:46.2pt" o:ole="">
            <v:imagedata r:id="rId35" o:title=""/>
          </v:shape>
          <o:OLEObject Type="Embed" ProgID="Visio.Drawing.11" ShapeID="_x0000_i1037" DrawAspect="Content" ObjectID="_1572432403" r:id="rId36"/>
        </w:object>
      </w:r>
    </w:p>
    <w:p w14:paraId="407BB4E1" w14:textId="547A9C43" w:rsidR="003D58BB" w:rsidRPr="004B19F7" w:rsidRDefault="003D58BB" w:rsidP="003D58BB">
      <w:pPr>
        <w:pStyle w:val="Caption"/>
        <w:jc w:val="center"/>
        <w:rPr>
          <w:rFonts w:ascii="Times New Roman" w:eastAsia="Times New Roman" w:hAnsi="Times New Roman" w:cs="Times New Roman"/>
          <w:bCs w:val="0"/>
          <w:sz w:val="20"/>
        </w:rPr>
      </w:pPr>
      <w:bookmarkStart w:id="16" w:name="_Ref494195452"/>
      <w:r w:rsidRPr="004B19F7">
        <w:rPr>
          <w:rFonts w:ascii="Times New Roman" w:eastAsia="Times New Roman" w:hAnsi="Times New Roman" w:cs="Times New Roman"/>
          <w:b/>
          <w:bCs w:val="0"/>
          <w:sz w:val="20"/>
        </w:rPr>
        <w:t xml:space="preserve">Figure </w:t>
      </w:r>
      <w:bookmarkEnd w:id="16"/>
      <w:r w:rsidR="00C13619" w:rsidRPr="00C13619">
        <w:rPr>
          <w:rFonts w:ascii="Times New Roman" w:eastAsia="Times New Roman" w:hAnsi="Times New Roman" w:cs="Times New Roman"/>
          <w:b/>
          <w:bCs w:val="0"/>
          <w:sz w:val="20"/>
        </w:rPr>
        <w:t>6</w:t>
      </w:r>
      <w:r w:rsidRPr="004B19F7">
        <w:rPr>
          <w:rFonts w:ascii="Times New Roman" w:eastAsia="Times New Roman" w:hAnsi="Times New Roman" w:cs="Times New Roman"/>
          <w:bCs w:val="0"/>
          <w:sz w:val="20"/>
        </w:rPr>
        <w:t xml:space="preserve"> Illustration of steps required during an exception reporting event</w:t>
      </w:r>
    </w:p>
    <w:p w14:paraId="550902A0" w14:textId="581E89B8" w:rsidR="007F6373" w:rsidRPr="004B19F7" w:rsidRDefault="003D58BB"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As it is expected the synchronization design of NB-IoT TDD should have the same performance as the NB-IoT FDD, we can directly use the synchronization time from the NB-IoT FDD design. At 164 dB MCL, they synchronization time for 90% of the UEs is 364 ms for the standalone. </w:t>
      </w:r>
      <w:r w:rsidR="007F6373" w:rsidRPr="004B19F7">
        <w:rPr>
          <w:rFonts w:ascii="Times New Roman" w:eastAsia="Times New Roman" w:hAnsi="Times New Roman" w:cs="Times New Roman"/>
          <w:sz w:val="20"/>
        </w:rPr>
        <w:t xml:space="preserve">The MIB acquisition time depends on the TDD configurations. As discussed in RAN#90, for some TDD configuration#0, it is not possible to have the same NPBCH density as it is in FDD. Therefore, for TDD configuration#0, we as an estimation, we assume the NPBCH acquisition time is doubled. For MIB reception time it is assumed that 1/1/4 code sub-blocks are needed for reception at 144/154/164 dB coupling loss. Each code sub-block is repeated 8 times and spread over an 80 ms interval (one repetition in each subframe 0). For terminals with 164 dB coupling loss, four code sub-blocks are required to decode MIB.  However, since MIB is updated in every TTI (640 ms), the four code sub-blocks must be in the same TTI in order for decoding to succeed. In the worst case, waiting until this condition is fulfilled causes an extra delay of four code-sub blocks, or 4*80=320 ms.  Reading the four code sub-block then takes 3*80+71=311 ms. Thus the total required time is 320+311=631 ms. </w:t>
      </w:r>
    </w:p>
    <w:p w14:paraId="0F90FEBE" w14:textId="2CEFF5E8" w:rsidR="007F6373" w:rsidRPr="004B19F7" w:rsidRDefault="007F6373" w:rsidP="001657E8">
      <w:pPr>
        <w:spacing w:after="0" w:line="240" w:lineRule="auto"/>
        <w:jc w:val="both"/>
        <w:rPr>
          <w:rFonts w:ascii="Times New Roman" w:eastAsia="Times New Roman" w:hAnsi="Times New Roman" w:cs="Times New Roman"/>
          <w:sz w:val="20"/>
        </w:rPr>
      </w:pPr>
    </w:p>
    <w:p w14:paraId="12FC1642" w14:textId="05182AC5" w:rsidR="00053FC9" w:rsidRPr="004B19F7" w:rsidRDefault="007F6373" w:rsidP="00053FC9">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After acquiring the MIB, the UE needs to perform </w:t>
      </w:r>
      <w:r w:rsidR="00053FC9" w:rsidRPr="004B19F7">
        <w:rPr>
          <w:rFonts w:ascii="Times New Roman" w:eastAsia="Times New Roman" w:hAnsi="Times New Roman" w:cs="Times New Roman"/>
          <w:sz w:val="20"/>
        </w:rPr>
        <w:t>random access. In NB-IoT, the same four-step random access procedure as in LTE is followed:</w:t>
      </w:r>
    </w:p>
    <w:p w14:paraId="0B2D8623" w14:textId="77777777" w:rsidR="00053FC9" w:rsidRPr="004B19F7" w:rsidRDefault="00053FC9" w:rsidP="00053FC9">
      <w:pPr>
        <w:spacing w:after="0" w:line="240" w:lineRule="auto"/>
        <w:jc w:val="both"/>
        <w:rPr>
          <w:rFonts w:ascii="Times New Roman" w:eastAsia="Times New Roman" w:hAnsi="Times New Roman" w:cs="Times New Roman"/>
          <w:sz w:val="20"/>
        </w:rPr>
      </w:pPr>
    </w:p>
    <w:p w14:paraId="6BEEA7BC" w14:textId="077D05C6" w:rsidR="00053FC9" w:rsidRPr="004B19F7"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Msg 1: UL: Random access preamble on PRACH</w:t>
      </w:r>
    </w:p>
    <w:p w14:paraId="3DA5B542" w14:textId="42BF2A7F" w:rsidR="00053FC9" w:rsidRPr="00053FC9"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053FC9">
        <w:rPr>
          <w:rFonts w:ascii="Times New Roman" w:eastAsia="Times New Roman" w:hAnsi="Times New Roman" w:cs="Times New Roman"/>
          <w:sz w:val="20"/>
        </w:rPr>
        <w:t>Msg 2: DL: Random access response (C-RNTI, TA, uplink grant)</w:t>
      </w:r>
    </w:p>
    <w:p w14:paraId="1927766D" w14:textId="0BD27036" w:rsidR="00053FC9" w:rsidRPr="004B19F7"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Msg 3: UL: “Connection request” (TLLI, Access cause, BSR)</w:t>
      </w:r>
    </w:p>
    <w:p w14:paraId="1CB7662D" w14:textId="08EDBF20" w:rsidR="00053FC9" w:rsidRPr="004B19F7"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Msg 4: DL: Contention resolution message (copy of TLLI)</w:t>
      </w:r>
    </w:p>
    <w:p w14:paraId="375AEB0A" w14:textId="21669E79" w:rsidR="004A7990" w:rsidRPr="004B19F7" w:rsidRDefault="00053FC9"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lastRenderedPageBreak/>
        <w:t xml:space="preserve">The NPRACH preamble design in NB-IoT TDD has not started yet. Hence, in this evaluation, we use the single tone design in NB-IoT FDD as a reference to estimate the time required for NB-IoT TDD NPRACH, and fits the required number of repetitions to the UL resources available in each of the TDD configurations.  We assume the UE sends NPRACH in the next available NPRACH slot. </w:t>
      </w:r>
      <w:r w:rsidR="00D601B2" w:rsidRPr="004B19F7">
        <w:rPr>
          <w:rFonts w:ascii="Times New Roman" w:eastAsia="Times New Roman" w:hAnsi="Times New Roman" w:cs="Times New Roman"/>
          <w:sz w:val="20"/>
        </w:rPr>
        <w:t xml:space="preserve">Therefore, for the worst case, it takes at most one NPRACH period as the waiting time before the UE can send NPRACH. </w:t>
      </w:r>
      <w:r w:rsidR="00FB768E" w:rsidRPr="004B19F7">
        <w:rPr>
          <w:rFonts w:ascii="Times New Roman" w:eastAsia="Times New Roman" w:hAnsi="Times New Roman" w:cs="Times New Roman"/>
          <w:sz w:val="20"/>
        </w:rPr>
        <w:t>In NB-IoT FDD, for</w:t>
      </w:r>
      <w:r w:rsidRPr="004B19F7">
        <w:rPr>
          <w:rFonts w:ascii="Times New Roman" w:eastAsia="Times New Roman" w:hAnsi="Times New Roman" w:cs="Times New Roman"/>
          <w:sz w:val="20"/>
        </w:rPr>
        <w:t xml:space="preserve"> UEs with 164 dB coupling loss, the preamble transmission takes 32 repetitions</w:t>
      </w:r>
      <w:r w:rsidR="00FB768E" w:rsidRPr="004B19F7">
        <w:rPr>
          <w:rFonts w:ascii="Times New Roman" w:eastAsia="Times New Roman" w:hAnsi="Times New Roman" w:cs="Times New Roman"/>
          <w:sz w:val="20"/>
        </w:rPr>
        <w:t xml:space="preserve">. </w:t>
      </w:r>
      <w:r w:rsidR="00316641" w:rsidRPr="004B19F7">
        <w:rPr>
          <w:rFonts w:ascii="Times New Roman" w:eastAsia="Times New Roman" w:hAnsi="Times New Roman" w:cs="Times New Roman"/>
          <w:sz w:val="20"/>
        </w:rPr>
        <w:t>We assume 4 ms waiting time</w:t>
      </w:r>
      <w:r w:rsidR="00BA145A" w:rsidRPr="004B19F7">
        <w:rPr>
          <w:rFonts w:ascii="Times New Roman" w:eastAsia="Times New Roman" w:hAnsi="Times New Roman" w:cs="Times New Roman"/>
          <w:sz w:val="20"/>
        </w:rPr>
        <w:t xml:space="preserve"> before the random-access response (RA) window starts.</w:t>
      </w:r>
      <w:r w:rsidR="00DF6B15" w:rsidRPr="004B19F7">
        <w:rPr>
          <w:rFonts w:ascii="Times New Roman" w:eastAsia="Times New Roman" w:hAnsi="Times New Roman" w:cs="Times New Roman"/>
          <w:sz w:val="20"/>
        </w:rPr>
        <w:t xml:space="preserve"> To fit the NPRACH preambles to the available consecutive UL subframes, we proposed some designs in our companion paper [</w:t>
      </w:r>
      <w:r w:rsidR="001A1BB7" w:rsidRPr="004B19F7">
        <w:rPr>
          <w:rFonts w:ascii="Times New Roman" w:eastAsia="Times New Roman" w:hAnsi="Times New Roman" w:cs="Times New Roman"/>
          <w:sz w:val="20"/>
        </w:rPr>
        <w:t>4</w:t>
      </w:r>
      <w:r w:rsidR="00DF6B15" w:rsidRPr="004B19F7">
        <w:rPr>
          <w:rFonts w:ascii="Times New Roman" w:eastAsia="Times New Roman" w:hAnsi="Times New Roman" w:cs="Times New Roman"/>
          <w:sz w:val="20"/>
        </w:rPr>
        <w:t xml:space="preserve">].  The NPRACH transmission time is estimated based on the NB-IoT FDD performance, not based on simulations. </w:t>
      </w:r>
    </w:p>
    <w:p w14:paraId="20E1107E" w14:textId="77777777" w:rsidR="004A7990" w:rsidRPr="004B19F7" w:rsidRDefault="004A7990" w:rsidP="001657E8">
      <w:pPr>
        <w:spacing w:after="0" w:line="240" w:lineRule="auto"/>
        <w:jc w:val="both"/>
        <w:rPr>
          <w:rFonts w:ascii="Times New Roman" w:eastAsia="Times New Roman" w:hAnsi="Times New Roman" w:cs="Times New Roman"/>
          <w:sz w:val="20"/>
        </w:rPr>
      </w:pPr>
    </w:p>
    <w:p w14:paraId="6A37ED56" w14:textId="5885B4F6" w:rsidR="00FB768E" w:rsidRPr="004B19F7" w:rsidRDefault="00FB768E"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The time required for RA mgs2-4 transmission can be calculated directly from the NB-IoT FDD design. We assume the UE gets the NPDCCH </w:t>
      </w:r>
      <w:r w:rsidR="00182BB2" w:rsidRPr="004B19F7">
        <w:rPr>
          <w:rFonts w:ascii="Times New Roman" w:eastAsia="Times New Roman" w:hAnsi="Times New Roman" w:cs="Times New Roman"/>
          <w:sz w:val="20"/>
        </w:rPr>
        <w:t xml:space="preserve">assignment immediately </w:t>
      </w:r>
      <w:r w:rsidR="00157302" w:rsidRPr="004B19F7">
        <w:rPr>
          <w:rFonts w:ascii="Times New Roman" w:eastAsia="Times New Roman" w:hAnsi="Times New Roman" w:cs="Times New Roman"/>
          <w:sz w:val="20"/>
        </w:rPr>
        <w:t>in the beginning of the USS</w:t>
      </w:r>
      <w:r w:rsidR="00182BB2" w:rsidRPr="004B19F7">
        <w:rPr>
          <w:rFonts w:ascii="Times New Roman" w:eastAsia="Times New Roman" w:hAnsi="Times New Roman" w:cs="Times New Roman"/>
          <w:sz w:val="20"/>
        </w:rPr>
        <w:t>.</w:t>
      </w:r>
      <w:r w:rsidR="00157302" w:rsidRPr="004B19F7">
        <w:rPr>
          <w:rFonts w:ascii="Times New Roman" w:eastAsia="Times New Roman" w:hAnsi="Times New Roman" w:cs="Times New Roman"/>
          <w:sz w:val="20"/>
        </w:rPr>
        <w:t xml:space="preserve"> In addition, we assume T = 1.5 and Rmax = 128, for the USS configuration</w:t>
      </w:r>
      <w:r w:rsidR="003D3A04" w:rsidRPr="004B19F7">
        <w:rPr>
          <w:rFonts w:ascii="Times New Roman" w:eastAsia="Times New Roman" w:hAnsi="Times New Roman" w:cs="Times New Roman"/>
          <w:sz w:val="20"/>
        </w:rPr>
        <w:t xml:space="preserve"> only counting the DL subframes</w:t>
      </w:r>
      <w:r w:rsidR="00157302" w:rsidRPr="004B19F7">
        <w:rPr>
          <w:rFonts w:ascii="Times New Roman" w:eastAsia="Times New Roman" w:hAnsi="Times New Roman" w:cs="Times New Roman"/>
          <w:sz w:val="20"/>
        </w:rPr>
        <w:t xml:space="preserve">. For the worst case, the UE needs to wait for 128*1.5 = 192 ms for the NPDCCH. </w:t>
      </w:r>
      <w:r w:rsidR="001D5F6B" w:rsidRPr="004B19F7">
        <w:rPr>
          <w:rFonts w:ascii="Times New Roman" w:eastAsia="Times New Roman" w:hAnsi="Times New Roman" w:cs="Times New Roman"/>
          <w:sz w:val="20"/>
        </w:rPr>
        <w:t>W</w:t>
      </w:r>
      <w:r w:rsidR="00660C00" w:rsidRPr="004B19F7">
        <w:rPr>
          <w:rFonts w:ascii="Times New Roman" w:eastAsia="Times New Roman" w:hAnsi="Times New Roman" w:cs="Times New Roman"/>
          <w:sz w:val="20"/>
        </w:rPr>
        <w:t xml:space="preserve">e assume the other timing relationships </w:t>
      </w:r>
      <w:r w:rsidR="001D5F6B" w:rsidRPr="004B19F7">
        <w:rPr>
          <w:rFonts w:ascii="Times New Roman" w:eastAsia="Times New Roman" w:hAnsi="Times New Roman" w:cs="Times New Roman"/>
          <w:sz w:val="20"/>
        </w:rPr>
        <w:t xml:space="preserve">are the same as </w:t>
      </w:r>
      <w:r w:rsidR="00660C00" w:rsidRPr="004B19F7">
        <w:rPr>
          <w:rFonts w:ascii="Times New Roman" w:eastAsia="Times New Roman" w:hAnsi="Times New Roman" w:cs="Times New Roman"/>
          <w:sz w:val="20"/>
        </w:rPr>
        <w:t xml:space="preserve">used in NB-IoT FDD. </w:t>
      </w:r>
      <w:r w:rsidR="001D5F6B" w:rsidRPr="004B19F7">
        <w:rPr>
          <w:rFonts w:ascii="Times New Roman" w:eastAsia="Times New Roman" w:hAnsi="Times New Roman" w:cs="Times New Roman"/>
          <w:sz w:val="20"/>
        </w:rPr>
        <w:t xml:space="preserve">The size of the messages and the required transmission time in NB-IoT FDD are given in </w:t>
      </w:r>
      <w:r w:rsidR="001D5F6B">
        <w:rPr>
          <w:rFonts w:ascii="Times New Roman" w:eastAsia="Times New Roman" w:hAnsi="Times New Roman" w:cs="Times New Roman"/>
          <w:sz w:val="20"/>
        </w:rPr>
        <w:fldChar w:fldCharType="begin"/>
      </w:r>
      <w:r w:rsidR="001D5F6B" w:rsidRPr="004B19F7">
        <w:rPr>
          <w:rFonts w:ascii="Times New Roman" w:eastAsia="Times New Roman" w:hAnsi="Times New Roman" w:cs="Times New Roman"/>
          <w:sz w:val="20"/>
        </w:rPr>
        <w:instrText xml:space="preserve"> REF _Ref494203858 \h  \* MERGEFORMAT </w:instrText>
      </w:r>
      <w:r w:rsidR="001D5F6B">
        <w:rPr>
          <w:rFonts w:ascii="Times New Roman" w:eastAsia="Times New Roman" w:hAnsi="Times New Roman" w:cs="Times New Roman"/>
          <w:sz w:val="20"/>
        </w:rPr>
      </w:r>
      <w:r w:rsidR="001D5F6B">
        <w:rPr>
          <w:rFonts w:ascii="Times New Roman" w:eastAsia="Times New Roman" w:hAnsi="Times New Roman" w:cs="Times New Roman"/>
          <w:sz w:val="20"/>
        </w:rPr>
        <w:fldChar w:fldCharType="separate"/>
      </w:r>
      <w:r w:rsidR="00D46219" w:rsidRPr="00D46219">
        <w:rPr>
          <w:rFonts w:ascii="Times New Roman" w:eastAsia="Times New Roman" w:hAnsi="Times New Roman" w:cs="Times New Roman"/>
          <w:sz w:val="20"/>
        </w:rPr>
        <w:t xml:space="preserve">Table </w:t>
      </w:r>
      <w:r w:rsidR="00D46219" w:rsidRPr="00D46219">
        <w:rPr>
          <w:rFonts w:ascii="Times New Roman" w:eastAsia="Times New Roman" w:hAnsi="Times New Roman" w:cs="Times New Roman"/>
          <w:sz w:val="20"/>
        </w:rPr>
        <w:t>3</w:t>
      </w:r>
      <w:r w:rsidR="001D5F6B">
        <w:rPr>
          <w:rFonts w:ascii="Times New Roman" w:eastAsia="Times New Roman" w:hAnsi="Times New Roman" w:cs="Times New Roman"/>
          <w:sz w:val="20"/>
        </w:rPr>
        <w:fldChar w:fldCharType="end"/>
      </w:r>
      <w:r w:rsidR="001D5F6B" w:rsidRPr="004B19F7">
        <w:rPr>
          <w:rFonts w:ascii="Times New Roman" w:eastAsia="Times New Roman" w:hAnsi="Times New Roman" w:cs="Times New Roman"/>
          <w:sz w:val="20"/>
        </w:rPr>
        <w:t xml:space="preserve">. </w:t>
      </w:r>
    </w:p>
    <w:p w14:paraId="0341E04C" w14:textId="670B21B5" w:rsidR="004A7990" w:rsidRPr="004B19F7" w:rsidRDefault="004A7990" w:rsidP="001657E8">
      <w:pPr>
        <w:spacing w:after="0" w:line="240" w:lineRule="auto"/>
        <w:jc w:val="both"/>
        <w:rPr>
          <w:rFonts w:ascii="Times New Roman" w:eastAsia="Times New Roman" w:hAnsi="Times New Roman" w:cs="Times New Roman"/>
          <w:sz w:val="20"/>
        </w:rPr>
      </w:pPr>
    </w:p>
    <w:p w14:paraId="7C5F1E1B" w14:textId="7AE5AF89" w:rsidR="00270039" w:rsidRPr="004B19F7" w:rsidRDefault="00270039" w:rsidP="00270039">
      <w:pPr>
        <w:pStyle w:val="Caption"/>
        <w:keepNext/>
        <w:jc w:val="center"/>
        <w:rPr>
          <w:rFonts w:ascii="Times New Roman" w:eastAsia="Times New Roman" w:hAnsi="Times New Roman" w:cs="Times New Roman"/>
          <w:b/>
          <w:bCs w:val="0"/>
          <w:sz w:val="20"/>
        </w:rPr>
      </w:pPr>
      <w:bookmarkStart w:id="17" w:name="_Ref494203858"/>
      <w:r w:rsidRPr="004B19F7">
        <w:rPr>
          <w:rFonts w:ascii="Times New Roman" w:eastAsia="Times New Roman" w:hAnsi="Times New Roman" w:cs="Times New Roman"/>
          <w:b/>
          <w:bCs w:val="0"/>
          <w:sz w:val="20"/>
        </w:rPr>
        <w:t xml:space="preserve">Table </w:t>
      </w:r>
      <w:r w:rsidRPr="00270039">
        <w:rPr>
          <w:rFonts w:ascii="Times New Roman" w:eastAsia="Times New Roman" w:hAnsi="Times New Roman" w:cs="Times New Roman"/>
          <w:b/>
          <w:bCs w:val="0"/>
          <w:sz w:val="20"/>
        </w:rPr>
        <w:fldChar w:fldCharType="begin"/>
      </w:r>
      <w:r w:rsidRPr="004B19F7">
        <w:rPr>
          <w:rFonts w:ascii="Times New Roman" w:eastAsia="Times New Roman" w:hAnsi="Times New Roman" w:cs="Times New Roman"/>
          <w:b/>
          <w:bCs w:val="0"/>
          <w:sz w:val="20"/>
        </w:rPr>
        <w:instrText xml:space="preserve"> SEQ Table \* ARABIC </w:instrText>
      </w:r>
      <w:r w:rsidRPr="00270039">
        <w:rPr>
          <w:rFonts w:ascii="Times New Roman" w:eastAsia="Times New Roman" w:hAnsi="Times New Roman" w:cs="Times New Roman"/>
          <w:b/>
          <w:bCs w:val="0"/>
          <w:sz w:val="20"/>
        </w:rPr>
        <w:fldChar w:fldCharType="separate"/>
      </w:r>
      <w:r w:rsidR="00D46219">
        <w:rPr>
          <w:rFonts w:ascii="Times New Roman" w:eastAsia="Times New Roman" w:hAnsi="Times New Roman" w:cs="Times New Roman"/>
          <w:b/>
          <w:bCs w:val="0"/>
          <w:noProof/>
          <w:sz w:val="20"/>
        </w:rPr>
        <w:t>3</w:t>
      </w:r>
      <w:r w:rsidRPr="00270039">
        <w:rPr>
          <w:rFonts w:ascii="Times New Roman" w:eastAsia="Times New Roman" w:hAnsi="Times New Roman" w:cs="Times New Roman"/>
          <w:b/>
          <w:bCs w:val="0"/>
          <w:sz w:val="20"/>
        </w:rPr>
        <w:fldChar w:fldCharType="end"/>
      </w:r>
      <w:bookmarkEnd w:id="17"/>
      <w:r w:rsidRPr="004B19F7">
        <w:rPr>
          <w:rFonts w:ascii="Times New Roman" w:eastAsia="Times New Roman" w:hAnsi="Times New Roman" w:cs="Times New Roman"/>
          <w:b/>
          <w:bCs w:val="0"/>
          <w:sz w:val="20"/>
        </w:rPr>
        <w:t xml:space="preserve"> </w:t>
      </w:r>
      <w:r w:rsidR="00157302" w:rsidRPr="004B19F7">
        <w:rPr>
          <w:rFonts w:ascii="Times New Roman" w:eastAsia="Times New Roman" w:hAnsi="Times New Roman" w:cs="Times New Roman"/>
          <w:b/>
          <w:bCs w:val="0"/>
          <w:sz w:val="20"/>
        </w:rPr>
        <w:t>Transmission time</w:t>
      </w:r>
      <w:r w:rsidRPr="004B19F7">
        <w:rPr>
          <w:rFonts w:ascii="Times New Roman" w:eastAsia="Times New Roman" w:hAnsi="Times New Roman" w:cs="Times New Roman"/>
          <w:b/>
          <w:bCs w:val="0"/>
          <w:sz w:val="20"/>
        </w:rPr>
        <w:t xml:space="preserve"> for RA msg2-4</w:t>
      </w:r>
      <w:r w:rsidR="00BA145A" w:rsidRPr="004B19F7">
        <w:rPr>
          <w:rFonts w:ascii="Times New Roman" w:eastAsia="Times New Roman" w:hAnsi="Times New Roman" w:cs="Times New Roman"/>
          <w:b/>
          <w:bCs w:val="0"/>
          <w:sz w:val="20"/>
        </w:rPr>
        <w:t xml:space="preserve"> in NB-IoT FDD at 164 dB MCL, standalone</w:t>
      </w:r>
    </w:p>
    <w:tbl>
      <w:tblPr>
        <w:tblStyle w:val="TableGrid10"/>
        <w:tblW w:w="0" w:type="auto"/>
        <w:jc w:val="center"/>
        <w:tblLook w:val="04A0" w:firstRow="1" w:lastRow="0" w:firstColumn="1" w:lastColumn="0" w:noHBand="0" w:noVBand="1"/>
      </w:tblPr>
      <w:tblGrid>
        <w:gridCol w:w="3006"/>
        <w:gridCol w:w="1082"/>
        <w:gridCol w:w="2932"/>
      </w:tblGrid>
      <w:tr w:rsidR="00270039" w:rsidRPr="001F7F88" w14:paraId="05AA9AA2" w14:textId="77777777" w:rsidTr="003D3A04">
        <w:trPr>
          <w:gridAfter w:val="2"/>
          <w:wAfter w:w="4014" w:type="dxa"/>
          <w:trHeight w:val="491"/>
          <w:jc w:val="center"/>
        </w:trPr>
        <w:tc>
          <w:tcPr>
            <w:tcW w:w="3006" w:type="dxa"/>
            <w:vMerge w:val="restart"/>
            <w:tcBorders>
              <w:top w:val="nil"/>
              <w:left w:val="nil"/>
              <w:bottom w:val="single" w:sz="4" w:space="0" w:color="auto"/>
              <w:right w:val="nil"/>
            </w:tcBorders>
            <w:shd w:val="clear" w:color="auto" w:fill="auto"/>
            <w:vAlign w:val="center"/>
          </w:tcPr>
          <w:p w14:paraId="748C7868" w14:textId="77777777" w:rsidR="00270039" w:rsidRPr="00270039" w:rsidRDefault="00270039" w:rsidP="00C14CB9">
            <w:pPr>
              <w:jc w:val="center"/>
              <w:rPr>
                <w:rFonts w:ascii="Times New Roman" w:eastAsia="SimSun" w:hAnsi="Times New Roman" w:cs="Times New Roman"/>
                <w:szCs w:val="20"/>
                <w:lang w:val="en-GB"/>
              </w:rPr>
            </w:pPr>
          </w:p>
        </w:tc>
      </w:tr>
      <w:tr w:rsidR="00270039" w:rsidRPr="001F7F88" w14:paraId="7C886C69" w14:textId="77777777" w:rsidTr="003D3A04">
        <w:trPr>
          <w:trHeight w:val="196"/>
          <w:jc w:val="center"/>
        </w:trPr>
        <w:tc>
          <w:tcPr>
            <w:tcW w:w="3006" w:type="dxa"/>
            <w:vMerge/>
            <w:tcBorders>
              <w:top w:val="single" w:sz="4" w:space="0" w:color="auto"/>
              <w:left w:val="nil"/>
              <w:bottom w:val="single" w:sz="4" w:space="0" w:color="auto"/>
              <w:right w:val="single" w:sz="4" w:space="0" w:color="auto"/>
            </w:tcBorders>
            <w:vAlign w:val="center"/>
          </w:tcPr>
          <w:p w14:paraId="7CFAE821" w14:textId="365F131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1082" w:type="dxa"/>
            <w:tcBorders>
              <w:top w:val="single" w:sz="4" w:space="0" w:color="auto"/>
              <w:left w:val="single" w:sz="4" w:space="0" w:color="auto"/>
              <w:right w:val="single" w:sz="4" w:space="0" w:color="auto"/>
            </w:tcBorders>
            <w:shd w:val="clear" w:color="auto" w:fill="DBE5F1"/>
            <w:vAlign w:val="center"/>
          </w:tcPr>
          <w:p w14:paraId="40A82B6E" w14:textId="26ACD5B0"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 xml:space="preserve">Bytes </w:t>
            </w:r>
          </w:p>
        </w:tc>
        <w:tc>
          <w:tcPr>
            <w:tcW w:w="2932" w:type="dxa"/>
            <w:shd w:val="clear" w:color="auto" w:fill="DBE5F1"/>
            <w:vAlign w:val="center"/>
          </w:tcPr>
          <w:p w14:paraId="1C22C265" w14:textId="04A21671" w:rsidR="00270039" w:rsidRPr="00270039" w:rsidRDefault="00157302"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Required time</w:t>
            </w:r>
            <w:r w:rsidR="00316641">
              <w:rPr>
                <w:rFonts w:ascii="Times New Roman" w:eastAsia="SimSun" w:hAnsi="Times New Roman" w:cs="Times New Roman"/>
                <w:szCs w:val="20"/>
                <w:lang w:val="en-GB"/>
              </w:rPr>
              <w:t xml:space="preserve"> in NB-IoT FDD </w:t>
            </w:r>
            <w:r>
              <w:rPr>
                <w:rFonts w:ascii="Times New Roman" w:eastAsia="SimSun" w:hAnsi="Times New Roman" w:cs="Times New Roman"/>
                <w:szCs w:val="20"/>
                <w:lang w:val="en-GB"/>
              </w:rPr>
              <w:t>[ms]</w:t>
            </w:r>
          </w:p>
        </w:tc>
      </w:tr>
      <w:tr w:rsidR="00270039" w:rsidRPr="00270039" w14:paraId="48CC9E0B" w14:textId="77777777" w:rsidTr="003D3A04">
        <w:trPr>
          <w:trHeight w:val="565"/>
          <w:jc w:val="center"/>
        </w:trPr>
        <w:tc>
          <w:tcPr>
            <w:tcW w:w="3006" w:type="dxa"/>
            <w:tcBorders>
              <w:top w:val="single" w:sz="4" w:space="0" w:color="auto"/>
              <w:bottom w:val="single" w:sz="4" w:space="0" w:color="auto"/>
            </w:tcBorders>
            <w:vAlign w:val="center"/>
          </w:tcPr>
          <w:p w14:paraId="18B4028A" w14:textId="080CAF65" w:rsidR="00270039" w:rsidRPr="00270039" w:rsidRDefault="00BA145A"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t xml:space="preserve">DCI for </w:t>
            </w:r>
            <w:r w:rsidR="003D3A04">
              <w:rPr>
                <w:rFonts w:ascii="Times New Roman" w:eastAsia="SimSun" w:hAnsi="Times New Roman" w:cs="Times New Roman"/>
                <w:szCs w:val="20"/>
                <w:lang w:val="en-GB"/>
              </w:rPr>
              <w:t>RAR (DL)</w:t>
            </w:r>
          </w:p>
        </w:tc>
        <w:tc>
          <w:tcPr>
            <w:tcW w:w="1082" w:type="dxa"/>
            <w:vAlign w:val="bottom"/>
          </w:tcPr>
          <w:p w14:paraId="4CD22E7D"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2932" w:type="dxa"/>
            <w:vAlign w:val="bottom"/>
          </w:tcPr>
          <w:p w14:paraId="4C8C98BE" w14:textId="75CAAFCC"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2EB3D68C" w14:textId="77777777" w:rsidTr="003D3A04">
        <w:trPr>
          <w:jc w:val="center"/>
        </w:trPr>
        <w:tc>
          <w:tcPr>
            <w:tcW w:w="3006" w:type="dxa"/>
            <w:tcBorders>
              <w:top w:val="single" w:sz="4" w:space="0" w:color="auto"/>
              <w:bottom w:val="single" w:sz="4" w:space="0" w:color="auto"/>
            </w:tcBorders>
            <w:vAlign w:val="center"/>
          </w:tcPr>
          <w:p w14:paraId="04916576" w14:textId="7F5B6FBB"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w:t>
            </w:r>
            <w:r w:rsidR="00873977">
              <w:rPr>
                <w:rFonts w:ascii="Times New Roman" w:eastAsia="SimSun" w:hAnsi="Times New Roman" w:cs="Times New Roman"/>
                <w:szCs w:val="20"/>
                <w:lang w:val="en-GB"/>
              </w:rPr>
              <w:t>AR, including UL grant (DL)</w:t>
            </w:r>
          </w:p>
        </w:tc>
        <w:tc>
          <w:tcPr>
            <w:tcW w:w="1082" w:type="dxa"/>
            <w:vAlign w:val="bottom"/>
          </w:tcPr>
          <w:p w14:paraId="58EE0D0C" w14:textId="114668AD"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color w:val="000000"/>
                <w:szCs w:val="20"/>
                <w:lang w:val="en-GB"/>
              </w:rPr>
              <w:t>8</w:t>
            </w:r>
          </w:p>
        </w:tc>
        <w:tc>
          <w:tcPr>
            <w:tcW w:w="2932" w:type="dxa"/>
            <w:vAlign w:val="bottom"/>
          </w:tcPr>
          <w:p w14:paraId="0E6E0B4A" w14:textId="11F46C13"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270039" w:rsidRPr="00270039" w14:paraId="05F02B91" w14:textId="77777777" w:rsidTr="003D3A04">
        <w:trPr>
          <w:jc w:val="center"/>
        </w:trPr>
        <w:tc>
          <w:tcPr>
            <w:tcW w:w="3006" w:type="dxa"/>
            <w:tcBorders>
              <w:top w:val="single" w:sz="4" w:space="0" w:color="auto"/>
              <w:bottom w:val="single" w:sz="4" w:space="0" w:color="auto"/>
            </w:tcBorders>
          </w:tcPr>
          <w:p w14:paraId="2E99F86C" w14:textId="1CA2B749"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3</w:t>
            </w:r>
            <w:r w:rsidR="003D3A04">
              <w:rPr>
                <w:rFonts w:ascii="Times New Roman" w:eastAsia="SimSun" w:hAnsi="Times New Roman" w:cs="Times New Roman"/>
                <w:szCs w:val="20"/>
                <w:lang w:val="en-GB"/>
              </w:rPr>
              <w:t xml:space="preserve"> (UL)</w:t>
            </w:r>
          </w:p>
        </w:tc>
        <w:tc>
          <w:tcPr>
            <w:tcW w:w="1082" w:type="dxa"/>
            <w:vAlign w:val="bottom"/>
          </w:tcPr>
          <w:p w14:paraId="63DC03B3"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11</w:t>
            </w:r>
          </w:p>
        </w:tc>
        <w:tc>
          <w:tcPr>
            <w:tcW w:w="2932" w:type="dxa"/>
            <w:vAlign w:val="bottom"/>
          </w:tcPr>
          <w:p w14:paraId="5D1EE97C" w14:textId="096175BA" w:rsidR="00270039" w:rsidRPr="00270039" w:rsidRDefault="00157302" w:rsidP="00270039">
            <w:pPr>
              <w:spacing w:after="120" w:line="240" w:lineRule="auto"/>
              <w:jc w:val="center"/>
              <w:rPr>
                <w:rFonts w:ascii="Times New Roman" w:eastAsia="SimSun" w:hAnsi="Times New Roman" w:cs="Times New Roman"/>
                <w:szCs w:val="20"/>
                <w:lang w:val="en-GB"/>
              </w:rPr>
            </w:pPr>
            <w:r w:rsidRPr="00157302">
              <w:rPr>
                <w:rFonts w:ascii="Times New Roman" w:eastAsia="SimSun" w:hAnsi="Times New Roman" w:cs="Times New Roman"/>
                <w:szCs w:val="20"/>
                <w:lang w:val="en-GB"/>
              </w:rPr>
              <w:t>288</w:t>
            </w:r>
          </w:p>
        </w:tc>
      </w:tr>
      <w:tr w:rsidR="003D3A04" w:rsidRPr="00270039" w14:paraId="48FDC90A" w14:textId="77777777" w:rsidTr="003D3A04">
        <w:trPr>
          <w:jc w:val="center"/>
        </w:trPr>
        <w:tc>
          <w:tcPr>
            <w:tcW w:w="3006" w:type="dxa"/>
            <w:tcBorders>
              <w:top w:val="single" w:sz="4" w:space="0" w:color="auto"/>
              <w:bottom w:val="single" w:sz="4" w:space="0" w:color="auto"/>
            </w:tcBorders>
          </w:tcPr>
          <w:p w14:paraId="5C2F7448" w14:textId="2AD008B4" w:rsidR="003D3A04" w:rsidRPr="00270039" w:rsidRDefault="003D3A04"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t>D</w:t>
            </w:r>
            <w:r>
              <w:rPr>
                <w:rFonts w:ascii="Times New Roman" w:eastAsia="SimSun" w:hAnsi="Times New Roman" w:cs="Times New Roman"/>
                <w:szCs w:val="20"/>
                <w:lang w:val="en-GB"/>
              </w:rPr>
              <w:t>CI for DL assignment (DL)</w:t>
            </w:r>
          </w:p>
        </w:tc>
        <w:tc>
          <w:tcPr>
            <w:tcW w:w="1082" w:type="dxa"/>
            <w:vAlign w:val="bottom"/>
          </w:tcPr>
          <w:p w14:paraId="238CE213" w14:textId="77777777" w:rsidR="003D3A04" w:rsidRPr="00270039" w:rsidRDefault="003D3A04"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6EC9A64D" w14:textId="554B0059" w:rsidR="003D3A04" w:rsidRPr="00157302" w:rsidRDefault="003D3A0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58ACC3AB" w14:textId="77777777" w:rsidTr="003D3A04">
        <w:trPr>
          <w:jc w:val="center"/>
        </w:trPr>
        <w:tc>
          <w:tcPr>
            <w:tcW w:w="3006" w:type="dxa"/>
            <w:tcBorders>
              <w:top w:val="single" w:sz="4" w:space="0" w:color="auto"/>
              <w:bottom w:val="single" w:sz="4" w:space="0" w:color="auto"/>
            </w:tcBorders>
          </w:tcPr>
          <w:p w14:paraId="1551F7C1" w14:textId="7D3EC7A5"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4</w:t>
            </w:r>
            <w:r w:rsidR="003D3A04">
              <w:rPr>
                <w:rFonts w:ascii="Times New Roman" w:eastAsia="SimSun" w:hAnsi="Times New Roman" w:cs="Times New Roman"/>
                <w:szCs w:val="20"/>
                <w:lang w:val="en-GB"/>
              </w:rPr>
              <w:t xml:space="preserve"> (DL)</w:t>
            </w:r>
          </w:p>
        </w:tc>
        <w:tc>
          <w:tcPr>
            <w:tcW w:w="1082" w:type="dxa"/>
            <w:vAlign w:val="bottom"/>
          </w:tcPr>
          <w:p w14:paraId="049A550C"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8</w:t>
            </w:r>
          </w:p>
        </w:tc>
        <w:tc>
          <w:tcPr>
            <w:tcW w:w="2932" w:type="dxa"/>
            <w:vAlign w:val="bottom"/>
          </w:tcPr>
          <w:p w14:paraId="4E5CC98B" w14:textId="5B9AFD15"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DB1F87" w:rsidRPr="00270039" w14:paraId="78E4F130" w14:textId="77777777" w:rsidTr="003D3A04">
        <w:trPr>
          <w:jc w:val="center"/>
        </w:trPr>
        <w:tc>
          <w:tcPr>
            <w:tcW w:w="3006" w:type="dxa"/>
            <w:tcBorders>
              <w:top w:val="single" w:sz="4" w:space="0" w:color="auto"/>
              <w:bottom w:val="single" w:sz="4" w:space="0" w:color="auto"/>
            </w:tcBorders>
          </w:tcPr>
          <w:p w14:paraId="5AEA7C48" w14:textId="099F7A59" w:rsidR="00DB1F87" w:rsidRPr="00270039"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ACK/NACK for msg4</w:t>
            </w:r>
            <w:r w:rsidR="003D3A04">
              <w:rPr>
                <w:rFonts w:ascii="Times New Roman" w:eastAsia="SimSun" w:hAnsi="Times New Roman" w:cs="Times New Roman"/>
                <w:szCs w:val="20"/>
                <w:lang w:val="en-GB"/>
              </w:rPr>
              <w:t xml:space="preserve"> (UL)</w:t>
            </w:r>
          </w:p>
        </w:tc>
        <w:tc>
          <w:tcPr>
            <w:tcW w:w="1082" w:type="dxa"/>
            <w:vAlign w:val="bottom"/>
          </w:tcPr>
          <w:p w14:paraId="70AECA11" w14:textId="77777777" w:rsidR="00DB1F87" w:rsidRPr="00270039" w:rsidRDefault="00DB1F87"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7C8AEE4D" w14:textId="178AE2D1" w:rsidR="00DB1F87"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64</w:t>
            </w:r>
          </w:p>
        </w:tc>
      </w:tr>
    </w:tbl>
    <w:p w14:paraId="3118F9F7" w14:textId="0B0C8232" w:rsidR="00270039" w:rsidRDefault="00270039" w:rsidP="001657E8">
      <w:pPr>
        <w:spacing w:after="0" w:line="240" w:lineRule="auto"/>
        <w:jc w:val="both"/>
        <w:rPr>
          <w:rFonts w:ascii="Times New Roman" w:eastAsia="Times New Roman" w:hAnsi="Times New Roman" w:cs="Times New Roman"/>
          <w:sz w:val="20"/>
        </w:rPr>
      </w:pPr>
    </w:p>
    <w:p w14:paraId="48EF8693" w14:textId="77777777" w:rsidR="00270039" w:rsidRDefault="00270039" w:rsidP="001657E8">
      <w:pPr>
        <w:spacing w:after="0" w:line="240" w:lineRule="auto"/>
        <w:jc w:val="both"/>
        <w:rPr>
          <w:rFonts w:ascii="Times New Roman" w:eastAsia="Times New Roman" w:hAnsi="Times New Roman" w:cs="Times New Roman"/>
          <w:sz w:val="20"/>
        </w:rPr>
      </w:pPr>
    </w:p>
    <w:p w14:paraId="254B362E" w14:textId="2EDC407C" w:rsidR="00FB768E" w:rsidRDefault="00FB768E" w:rsidP="001657E8">
      <w:pPr>
        <w:spacing w:after="0" w:line="240" w:lineRule="auto"/>
        <w:jc w:val="both"/>
        <w:rPr>
          <w:rFonts w:ascii="Times New Roman" w:eastAsia="Times New Roman" w:hAnsi="Times New Roman" w:cs="Times New Roman"/>
          <w:sz w:val="20"/>
        </w:rPr>
      </w:pPr>
    </w:p>
    <w:p w14:paraId="52A29E1A" w14:textId="161A4D16" w:rsidR="00FB768E" w:rsidRPr="004B19F7" w:rsidRDefault="00DB1F87"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Once random access is completed the terminal waits for an uplink grant on NPDCCH. Based on the buffer status report included in RA msg3 the eNB selects a suitable grant size and transmits the NPDCCH. Once the UE receives the UL assignment, it sends the exception report on the scheduled UL resources. For the exception report, according to</w:t>
      </w:r>
      <w:r w:rsidR="00E26CD6" w:rsidRPr="004B19F7">
        <w:rPr>
          <w:rFonts w:ascii="Times New Roman" w:eastAsia="Times New Roman" w:hAnsi="Times New Roman" w:cs="Times New Roman"/>
          <w:sz w:val="20"/>
        </w:rPr>
        <w:t xml:space="preserve"> </w:t>
      </w:r>
      <w:r w:rsidR="007B19BD">
        <w:rPr>
          <w:rFonts w:ascii="Times New Roman" w:eastAsia="Times New Roman" w:hAnsi="Times New Roman" w:cs="Times New Roman"/>
          <w:sz w:val="20"/>
        </w:rPr>
        <w:fldChar w:fldCharType="begin"/>
      </w:r>
      <w:r w:rsidR="007B19BD" w:rsidRPr="004B19F7">
        <w:rPr>
          <w:rFonts w:ascii="Times New Roman" w:eastAsia="Times New Roman" w:hAnsi="Times New Roman" w:cs="Times New Roman"/>
          <w:sz w:val="20"/>
        </w:rPr>
        <w:instrText xml:space="preserve"> REF _Ref494448241 \r \h </w:instrText>
      </w:r>
      <w:r w:rsidR="007B19BD">
        <w:rPr>
          <w:rFonts w:ascii="Times New Roman" w:eastAsia="Times New Roman" w:hAnsi="Times New Roman" w:cs="Times New Roman"/>
          <w:sz w:val="20"/>
        </w:rPr>
      </w:r>
      <w:r w:rsidR="007B19BD">
        <w:rPr>
          <w:rFonts w:ascii="Times New Roman" w:eastAsia="Times New Roman" w:hAnsi="Times New Roman" w:cs="Times New Roman"/>
          <w:sz w:val="20"/>
        </w:rPr>
        <w:fldChar w:fldCharType="separate"/>
      </w:r>
      <w:r w:rsidR="00D46219">
        <w:rPr>
          <w:rFonts w:ascii="Times New Roman" w:eastAsia="Times New Roman" w:hAnsi="Times New Roman" w:cs="Times New Roman"/>
          <w:sz w:val="20"/>
        </w:rPr>
        <w:t>[8]</w:t>
      </w:r>
      <w:r w:rsidR="007B19BD">
        <w:rPr>
          <w:rFonts w:ascii="Times New Roman" w:eastAsia="Times New Roman" w:hAnsi="Times New Roman" w:cs="Times New Roman"/>
          <w:sz w:val="20"/>
        </w:rPr>
        <w:fldChar w:fldCharType="end"/>
      </w:r>
      <w:r w:rsidRPr="004B19F7">
        <w:rPr>
          <w:rFonts w:ascii="Times New Roman" w:eastAsia="Times New Roman" w:hAnsi="Times New Roman" w:cs="Times New Roman"/>
          <w:sz w:val="20"/>
        </w:rPr>
        <w:t xml:space="preserve">, </w:t>
      </w:r>
      <w:r w:rsidR="00875B5E" w:rsidRPr="004B19F7">
        <w:rPr>
          <w:rFonts w:ascii="Times New Roman" w:eastAsia="Times New Roman" w:hAnsi="Times New Roman" w:cs="Times New Roman"/>
          <w:sz w:val="20"/>
        </w:rPr>
        <w:t xml:space="preserve">in total 100 bytes are assumed for the overhead of the upper layer protocols. </w:t>
      </w:r>
      <w:r w:rsidRPr="004B19F7">
        <w:rPr>
          <w:rFonts w:ascii="Times New Roman" w:eastAsia="Times New Roman" w:hAnsi="Times New Roman" w:cs="Times New Roman"/>
          <w:sz w:val="20"/>
        </w:rPr>
        <w:t xml:space="preserve">At 164 dB MCL, it takes 2560 ms to send the exception report. The UL transmission gap is not considered in NB-IoT TDD. </w:t>
      </w:r>
    </w:p>
    <w:p w14:paraId="18D2A135" w14:textId="1606DBFE" w:rsidR="00A03636" w:rsidRPr="004B19F7" w:rsidRDefault="00A03636" w:rsidP="001657E8">
      <w:pPr>
        <w:spacing w:after="0" w:line="240" w:lineRule="auto"/>
        <w:jc w:val="both"/>
        <w:rPr>
          <w:rFonts w:ascii="Times New Roman" w:eastAsia="Times New Roman" w:hAnsi="Times New Roman" w:cs="Times New Roman"/>
          <w:sz w:val="20"/>
        </w:rPr>
      </w:pPr>
    </w:p>
    <w:p w14:paraId="203259F2" w14:textId="2557CF5F" w:rsidR="00A03636" w:rsidRPr="004B19F7" w:rsidRDefault="00A03636"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If the transmission is received in error or lost, the network will schedule the terminal to do a re-transmission. A re-transmission is requested by sending an uplink assignment in the next available NPDCCH with the NDI (“new data indicator”) flag not toggled. For the 90% confidence case, we assume no re-transmission. </w:t>
      </w:r>
    </w:p>
    <w:p w14:paraId="34BB31C0" w14:textId="7BF524EC" w:rsidR="00A03636" w:rsidRPr="004B19F7" w:rsidRDefault="00A03636" w:rsidP="001657E8">
      <w:pPr>
        <w:spacing w:after="0" w:line="240" w:lineRule="auto"/>
        <w:jc w:val="both"/>
        <w:rPr>
          <w:rFonts w:ascii="Times New Roman" w:eastAsia="Times New Roman" w:hAnsi="Times New Roman" w:cs="Times New Roman"/>
          <w:sz w:val="20"/>
        </w:rPr>
      </w:pPr>
    </w:p>
    <w:p w14:paraId="162D5CB4" w14:textId="5B694CC5" w:rsidR="00DB1F87" w:rsidRPr="004B19F7" w:rsidRDefault="00A03636"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The total time to send exception report for each of the TDD configurations is summarized in </w:t>
      </w:r>
      <w:r w:rsidR="00DF6B15" w:rsidRPr="00DF6B15">
        <w:rPr>
          <w:rFonts w:ascii="Times New Roman" w:eastAsia="Times New Roman" w:hAnsi="Times New Roman" w:cs="Times New Roman"/>
          <w:sz w:val="20"/>
        </w:rPr>
        <w:fldChar w:fldCharType="begin"/>
      </w:r>
      <w:r w:rsidR="00DF6B15" w:rsidRPr="004B19F7">
        <w:rPr>
          <w:rFonts w:ascii="Times New Roman" w:eastAsia="Times New Roman" w:hAnsi="Times New Roman" w:cs="Times New Roman"/>
          <w:sz w:val="20"/>
        </w:rPr>
        <w:instrText xml:space="preserve"> REF _Ref494210667 \h  \* MERGEFORMAT </w:instrText>
      </w:r>
      <w:r w:rsidR="00DF6B15" w:rsidRPr="00DF6B15">
        <w:rPr>
          <w:rFonts w:ascii="Times New Roman" w:eastAsia="Times New Roman" w:hAnsi="Times New Roman" w:cs="Times New Roman"/>
          <w:sz w:val="20"/>
        </w:rPr>
      </w:r>
      <w:r w:rsidR="00DF6B15" w:rsidRPr="00DF6B15">
        <w:rPr>
          <w:rFonts w:ascii="Times New Roman" w:eastAsia="Times New Roman" w:hAnsi="Times New Roman" w:cs="Times New Roman"/>
          <w:sz w:val="20"/>
        </w:rPr>
        <w:fldChar w:fldCharType="separate"/>
      </w:r>
      <w:r w:rsidR="00D46219" w:rsidRPr="00D46219">
        <w:rPr>
          <w:rFonts w:ascii="Times New Roman" w:eastAsia="Times New Roman" w:hAnsi="Times New Roman" w:cs="Times New Roman"/>
          <w:sz w:val="20"/>
        </w:rPr>
        <w:t xml:space="preserve">Table </w:t>
      </w:r>
      <w:r w:rsidR="00D46219" w:rsidRPr="00D46219">
        <w:rPr>
          <w:rFonts w:ascii="Times New Roman" w:eastAsia="Times New Roman" w:hAnsi="Times New Roman" w:cs="Times New Roman"/>
          <w:sz w:val="20"/>
        </w:rPr>
        <w:t>4</w:t>
      </w:r>
      <w:r w:rsidR="00DF6B15" w:rsidRPr="00DF6B15">
        <w:rPr>
          <w:rFonts w:ascii="Times New Roman" w:eastAsia="Times New Roman" w:hAnsi="Times New Roman" w:cs="Times New Roman"/>
          <w:sz w:val="20"/>
        </w:rPr>
        <w:fldChar w:fldCharType="end"/>
      </w:r>
      <w:r w:rsidRPr="004B19F7">
        <w:rPr>
          <w:rFonts w:ascii="Times New Roman" w:eastAsia="Times New Roman" w:hAnsi="Times New Roman" w:cs="Times New Roman"/>
          <w:sz w:val="20"/>
        </w:rPr>
        <w:t>.  Notice that the NPRACH transmission time is estimated based on the NB-IoT FDD design.</w:t>
      </w:r>
      <w:r w:rsidR="00F119A0" w:rsidRPr="004B19F7">
        <w:rPr>
          <w:rFonts w:ascii="Times New Roman" w:eastAsia="Times New Roman" w:hAnsi="Times New Roman" w:cs="Times New Roman"/>
          <w:sz w:val="20"/>
        </w:rPr>
        <w:t xml:space="preserve"> The proposed NPRACH designs are given in our companion paper [</w:t>
      </w:r>
      <w:r w:rsidR="001A1BB7" w:rsidRPr="004B19F7">
        <w:rPr>
          <w:rFonts w:ascii="Times New Roman" w:eastAsia="Times New Roman" w:hAnsi="Times New Roman" w:cs="Times New Roman"/>
          <w:sz w:val="20"/>
        </w:rPr>
        <w:t>4</w:t>
      </w:r>
      <w:r w:rsidR="00F119A0" w:rsidRPr="004B19F7">
        <w:rPr>
          <w:rFonts w:ascii="Times New Roman" w:eastAsia="Times New Roman" w:hAnsi="Times New Roman" w:cs="Times New Roman"/>
          <w:sz w:val="20"/>
        </w:rPr>
        <w:t xml:space="preserve">]. </w:t>
      </w:r>
      <w:r w:rsidRPr="004B19F7">
        <w:rPr>
          <w:rFonts w:ascii="Times New Roman" w:eastAsia="Times New Roman" w:hAnsi="Times New Roman" w:cs="Times New Roman"/>
          <w:sz w:val="20"/>
        </w:rPr>
        <w:t xml:space="preserve"> </w:t>
      </w:r>
      <w:r w:rsidR="00FA5EE8" w:rsidRPr="004B19F7">
        <w:rPr>
          <w:rFonts w:ascii="Times New Roman" w:eastAsia="Times New Roman" w:hAnsi="Times New Roman" w:cs="Times New Roman"/>
          <w:sz w:val="20"/>
        </w:rPr>
        <w:t xml:space="preserve">The special subframes are not considered in the calculations. </w:t>
      </w:r>
    </w:p>
    <w:p w14:paraId="4B2E2613" w14:textId="67DFF97C" w:rsidR="00A03636" w:rsidRPr="004B19F7" w:rsidRDefault="00A03636" w:rsidP="001657E8">
      <w:pPr>
        <w:spacing w:after="0" w:line="240" w:lineRule="auto"/>
        <w:jc w:val="both"/>
        <w:rPr>
          <w:rFonts w:ascii="Times New Roman" w:eastAsia="Times New Roman" w:hAnsi="Times New Roman" w:cs="Times New Roman"/>
          <w:sz w:val="20"/>
        </w:rPr>
      </w:pPr>
    </w:p>
    <w:p w14:paraId="35C117C4" w14:textId="1466D944" w:rsidR="00DF6B15" w:rsidRPr="004B19F7" w:rsidRDefault="00DF6B15" w:rsidP="00DF6B15">
      <w:pPr>
        <w:pStyle w:val="Caption"/>
        <w:keepNext/>
        <w:jc w:val="center"/>
        <w:rPr>
          <w:rFonts w:ascii="Times New Roman" w:eastAsia="Times New Roman" w:hAnsi="Times New Roman" w:cs="Times New Roman"/>
          <w:b/>
          <w:bCs w:val="0"/>
          <w:sz w:val="20"/>
        </w:rPr>
      </w:pPr>
      <w:bookmarkStart w:id="18" w:name="_Ref494210667"/>
      <w:r w:rsidRPr="004B19F7">
        <w:rPr>
          <w:rFonts w:ascii="Times New Roman" w:eastAsia="Times New Roman" w:hAnsi="Times New Roman" w:cs="Times New Roman"/>
          <w:b/>
          <w:bCs w:val="0"/>
          <w:sz w:val="20"/>
        </w:rPr>
        <w:t xml:space="preserve">Table </w:t>
      </w:r>
      <w:r w:rsidRPr="00DF6B15">
        <w:rPr>
          <w:rFonts w:ascii="Times New Roman" w:eastAsia="Times New Roman" w:hAnsi="Times New Roman" w:cs="Times New Roman"/>
          <w:b/>
          <w:bCs w:val="0"/>
          <w:sz w:val="20"/>
        </w:rPr>
        <w:fldChar w:fldCharType="begin"/>
      </w:r>
      <w:r w:rsidRPr="004B19F7">
        <w:rPr>
          <w:rFonts w:ascii="Times New Roman" w:eastAsia="Times New Roman" w:hAnsi="Times New Roman" w:cs="Times New Roman"/>
          <w:b/>
          <w:bCs w:val="0"/>
          <w:sz w:val="20"/>
        </w:rPr>
        <w:instrText xml:space="preserve"> SEQ Table \* ARABIC </w:instrText>
      </w:r>
      <w:r w:rsidRPr="00DF6B15">
        <w:rPr>
          <w:rFonts w:ascii="Times New Roman" w:eastAsia="Times New Roman" w:hAnsi="Times New Roman" w:cs="Times New Roman"/>
          <w:b/>
          <w:bCs w:val="0"/>
          <w:sz w:val="20"/>
        </w:rPr>
        <w:fldChar w:fldCharType="separate"/>
      </w:r>
      <w:r w:rsidR="00D46219">
        <w:rPr>
          <w:rFonts w:ascii="Times New Roman" w:eastAsia="Times New Roman" w:hAnsi="Times New Roman" w:cs="Times New Roman"/>
          <w:b/>
          <w:bCs w:val="0"/>
          <w:noProof/>
          <w:sz w:val="20"/>
        </w:rPr>
        <w:t>4</w:t>
      </w:r>
      <w:r w:rsidRPr="00DF6B15">
        <w:rPr>
          <w:rFonts w:ascii="Times New Roman" w:eastAsia="Times New Roman" w:hAnsi="Times New Roman" w:cs="Times New Roman"/>
          <w:b/>
          <w:bCs w:val="0"/>
          <w:sz w:val="20"/>
        </w:rPr>
        <w:fldChar w:fldCharType="end"/>
      </w:r>
      <w:bookmarkEnd w:id="18"/>
      <w:r w:rsidRPr="004B19F7">
        <w:rPr>
          <w:rFonts w:ascii="Times New Roman" w:eastAsia="Times New Roman" w:hAnsi="Times New Roman" w:cs="Times New Roman"/>
          <w:b/>
          <w:bCs w:val="0"/>
          <w:sz w:val="20"/>
        </w:rPr>
        <w:t xml:space="preserve"> Exception report delivery time with 90% confidence for standalone case at 164 dB MCL</w:t>
      </w:r>
    </w:p>
    <w:tbl>
      <w:tblPr>
        <w:tblStyle w:val="TableGrid2"/>
        <w:tblW w:w="0" w:type="auto"/>
        <w:jc w:val="center"/>
        <w:tblLook w:val="04A0" w:firstRow="1" w:lastRow="0" w:firstColumn="1" w:lastColumn="0" w:noHBand="0" w:noVBand="1"/>
      </w:tblPr>
      <w:tblGrid>
        <w:gridCol w:w="2780"/>
        <w:gridCol w:w="930"/>
        <w:gridCol w:w="930"/>
        <w:gridCol w:w="929"/>
        <w:gridCol w:w="930"/>
        <w:gridCol w:w="930"/>
        <w:gridCol w:w="1272"/>
      </w:tblGrid>
      <w:tr w:rsidR="00127331" w:rsidRPr="00A03636" w14:paraId="7836CE83" w14:textId="77524F8E" w:rsidTr="00127331">
        <w:trPr>
          <w:trHeight w:val="868"/>
          <w:jc w:val="center"/>
        </w:trPr>
        <w:tc>
          <w:tcPr>
            <w:tcW w:w="2780" w:type="dxa"/>
            <w:shd w:val="clear" w:color="auto" w:fill="DBE5F1"/>
            <w:vAlign w:val="center"/>
          </w:tcPr>
          <w:p w14:paraId="4DF3C627" w14:textId="275A55A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80768" behindDoc="0" locked="0" layoutInCell="1" allowOverlap="1" wp14:anchorId="73153A76" wp14:editId="741DEDCD">
                      <wp:simplePos x="0" y="0"/>
                      <wp:positionH relativeFrom="column">
                        <wp:posOffset>-68580</wp:posOffset>
                      </wp:positionH>
                      <wp:positionV relativeFrom="paragraph">
                        <wp:posOffset>-6985</wp:posOffset>
                      </wp:positionV>
                      <wp:extent cx="1780540" cy="524510"/>
                      <wp:effectExtent l="0" t="0" r="29210" b="27940"/>
                      <wp:wrapNone/>
                      <wp:docPr id="3" name="Straight Connector 3"/>
                      <wp:cNvGraphicFramePr/>
                      <a:graphic xmlns:a="http://schemas.openxmlformats.org/drawingml/2006/main">
                        <a:graphicData uri="http://schemas.microsoft.com/office/word/2010/wordprocessingShape">
                          <wps:wsp>
                            <wps:cNvCnPr/>
                            <wps:spPr>
                              <a:xfrm>
                                <a:off x="0" y="0"/>
                                <a:ext cx="1780540" cy="5245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E47E5F" id="Straight Connector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134.8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Rx5AEAAK4DAAAOAAAAZHJzL2Uyb0RvYy54bWysU8tu2zAQvBfoPxC8x5KdqE0EyznYSC99&#10;GEj6ARuSkgjwBS5r2X/fJeU4aXsr4gO93OUOd4aj9f3RGnZQEbV3HV8uas6UE15qN3T859PD1S1n&#10;mMBJMN6pjp8U8vvNxw/rKbRq5UdvpIqMQBy2U+j4mFJoqwrFqCzgwgflqNj7aCHRNg6VjDARujXV&#10;qq4/VZOPMkQvFCJld3ORbwp+3yuRfvQ9qsRMx2m2VNZY1ue8Vps1tEOEMGpxHgP+YwoL2tGlF6gd&#10;JGC/ov4HymoRPfo+LYS3le97LVThQGyW9V9sHkcIqnAhcTBcZML3gxXfD/vItOz4NWcOLD3RY4qg&#10;hzGxrXeOBPSRXWedpoAtHd+6fTzvMOxjJn3so83/RIcdi7ani7bqmJig5PLzbd3c0BMIqjWrm2ZZ&#10;xK9eu0PE9EV5y3LQcaNd5g4tHL5iohvp6MuRnHb+QRtT3s84NnX8rlk1BA/kot5AotAG4oVu4AzM&#10;QPYUKRZE9EbL3J1x8IRbE9kByCFkLOmnJ5qZMwOYqEBEym9uHEGq+ehdQ+nZPgjpm5dzelm/5Gnc&#10;GbpM/seVmcYOcJxbSikjUYdxeSRVjHtmnWWfhc7Rs5enon+Vd2SK0nY2cHbd2z3Fbz+zzW8AAAD/&#10;/wMAUEsDBBQABgAIAAAAIQB2kgz63gAAAAkBAAAPAAAAZHJzL2Rvd25yZXYueG1sTI/BTsMwEETv&#10;SPyDtUhcqtZOEFEb4lQIyI0LBdTrNl6SiHidxm4b+HrcU7ntaEczb4r1ZHtxpNF3jjUkCwWCuHam&#10;40bDx3s1X4LwAdlg75g0/JCHdXl9VWBu3Inf6LgJjYgh7HPU0IYw5FL6uiWLfuEG4vj7cqPFEOXY&#10;SDPiKYbbXqZKZdJix7GhxYGeWqq/NwerwVeftK9+Z/VMbe8aR+n++fUFtb69mR4fQASawsUMZ/yI&#10;DmVk2rkDGy96DfNERfRwPhIQ0ZBmqwzETsMyuQdZFvL/gvIPAAD//wMAUEsBAi0AFAAGAAgAAAAh&#10;ALaDOJL+AAAA4QEAABMAAAAAAAAAAAAAAAAAAAAAAFtDb250ZW50X1R5cGVzXS54bWxQSwECLQAU&#10;AAYACAAAACEAOP0h/9YAAACUAQAACwAAAAAAAAAAAAAAAAAvAQAAX3JlbHMvLnJlbHNQSwECLQAU&#10;AAYACAAAACEAtbRkceQBAACuAwAADgAAAAAAAAAAAAAAAAAuAgAAZHJzL2Uyb0RvYy54bWxQSwEC&#10;LQAUAAYACAAAACEAdpIM+t4AAAAJAQAADwAAAAAAAAAAAAAAAAA+BAAAZHJzL2Rvd25yZXYueG1s&#10;UEsFBgAAAAAEAAQA8wAAAEkFAAAAAA==&#10;"/>
                  </w:pict>
                </mc:Fallback>
              </mc:AlternateContent>
            </w: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81792" behindDoc="0" locked="0" layoutInCell="1" allowOverlap="1" wp14:anchorId="4C3674B4" wp14:editId="6027F727">
                      <wp:simplePos x="0" y="0"/>
                      <wp:positionH relativeFrom="column">
                        <wp:posOffset>-55425</wp:posOffset>
                      </wp:positionH>
                      <wp:positionV relativeFrom="paragraph">
                        <wp:posOffset>287955</wp:posOffset>
                      </wp:positionV>
                      <wp:extent cx="638355" cy="235764"/>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rgbClr val="4F81BD">
                                  <a:lumMod val="20000"/>
                                  <a:lumOff val="80000"/>
                                </a:srgbClr>
                              </a:solidFill>
                              <a:ln w="6350">
                                <a:noFill/>
                              </a:ln>
                              <a:effectLst/>
                            </wps:spPr>
                            <wps:txbx>
                              <w:txbxContent>
                                <w:p w14:paraId="38EF3896" w14:textId="77777777" w:rsidR="0002285C" w:rsidRPr="00865679" w:rsidRDefault="0002285C" w:rsidP="00A03636">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674B4" id="_x0000_t202" coordsize="21600,21600" o:spt="202" path="m,l,21600r21600,l21600,xe">
                      <v:stroke joinstyle="miter"/>
                      <v:path gradientshapeok="t" o:connecttype="rect"/>
                    </v:shapetype>
                    <v:shape id="Text Box 8" o:spid="_x0000_s1026" type="#_x0000_t202" style="position:absolute;left:0;text-align:left;margin-left:-4.35pt;margin-top:22.65pt;width:50.25pt;height:1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s9YAIAAMAEAAAOAAAAZHJzL2Uyb0RvYy54bWysVEuP2jAQvlfqf7B8LwnPpYiwYkFUleju&#10;SlDt2TgOiWR7XNuQ0F/fsRN26banqhczr8zjm2+Y3zdKkrOwrgKd0X4vpURoDnmljxn9vt98mlLi&#10;PNM5k6BFRi/C0fvFxw/z2szEAEqQubAEk2g3q01GS+/NLEkcL4VirgdGaHQWYBXzqNpjkltWY3Yl&#10;k0GaTpIabG4scOEcWtetky5i/qIQ3D8VhROeyIxibz6+Nr6H8CaLOZsdLTNlxbs22D90oVilsehr&#10;qjXzjJxs9UcqVXELDgrf46ASKIqKizgDTtNP302zK5kRcRYEx5lXmNz/S8sfz8+WVHlGcVGaKVzR&#10;XjSePEBDpgGd2rgZBu0MhvkGzbjlq92hMQzdFFaFXxyHoB9xvrxiG5JxNE6G0+F4TAlH12A4vpuM&#10;Qpbk7WNjnf8iQJEgZNTi6iKi7Lx1vg29hoRaDmSVbyopo2KPh5W05MxwzaPNtP+wjt/Kk/oGeWtG&#10;tqTdvtGMrGjN06sZW3FtmtjWb/mlJnUYYZzGtBpC4bYnqUMDIlKtazRA1kITJN8cmg7HA+QXhNFC&#10;S0Nn+KbCYbfM+WdmkXeIHN6Sf8KnkIAloZMoKcH+/Js9xCMd0EtJjTzOqPtxYlZQIr9qJMrn/mgU&#10;iB+V0fhugIq99RxuPfqkVoAY9vFqDY9iiPfyKhYW1Aue3DJURRfTHGtn1F/FlW+vC0+Wi+UyBiHV&#10;DfNbvTM8pA6AhVXumxdmTbdvj0R5hCvj2ezd2tvY8KWG5clDUUVOBIBbVHFpQcEzievrTjrc4a0e&#10;o97+eBa/AAAA//8DAFBLAwQUAAYACAAAACEAAOdmz94AAAAHAQAADwAAAGRycy9kb3ducmV2Lnht&#10;bEyPzUvDQBTE74L/w/IEb+2mH9Y05qVYIeilgm2h103ymgT3I2S3Tfrf+zzpcZhh5jfpZjRaXKn3&#10;rbMIs2kEgmzpqtbWCMdDPolB+KBspbSzhHAjD5vs/i5VSeUG+0XXfagFl1ifKIQmhC6R0pcNGeWn&#10;riPL3tn1RgWWfS2rXg1cbrScR9FKGtVaXmhUR28Nld/7i0E47wp5zBc635qP7am7vdPqNHwiPj6M&#10;ry8gAo3hLwy/+IwOGTMV7mIrLzTCJH7mJMLyaQGC/fWMnxQI8XwJMkvlf/7sBwAA//8DAFBLAQIt&#10;ABQABgAIAAAAIQC2gziS/gAAAOEBAAATAAAAAAAAAAAAAAAAAAAAAABbQ29udGVudF9UeXBlc10u&#10;eG1sUEsBAi0AFAAGAAgAAAAhADj9If/WAAAAlAEAAAsAAAAAAAAAAAAAAAAALwEAAF9yZWxzLy5y&#10;ZWxzUEsBAi0AFAAGAAgAAAAhAAFlKz1gAgAAwAQAAA4AAAAAAAAAAAAAAAAALgIAAGRycy9lMm9E&#10;b2MueG1sUEsBAi0AFAAGAAgAAAAhAADnZs/eAAAABwEAAA8AAAAAAAAAAAAAAAAAugQAAGRycy9k&#10;b3ducmV2LnhtbFBLBQYAAAAABAAEAPMAAADFBQAAAAA=&#10;" fillcolor="#dce6f2" stroked="f" strokeweight=".5pt">
                      <v:textbox>
                        <w:txbxContent>
                          <w:p w14:paraId="38EF3896" w14:textId="77777777" w:rsidR="0002285C" w:rsidRPr="00865679" w:rsidRDefault="0002285C" w:rsidP="00A03636">
                            <w:pPr>
                              <w:pStyle w:val="BodyText"/>
                              <w:jc w:val="center"/>
                              <w:rPr>
                                <w:rFonts w:eastAsia="MS Mincho"/>
                                <w:sz w:val="20"/>
                              </w:rPr>
                            </w:pPr>
                            <w:r w:rsidRPr="00865679">
                              <w:rPr>
                                <w:rFonts w:eastAsia="MS Mincho"/>
                                <w:sz w:val="20"/>
                              </w:rPr>
                              <w:t>Activity</w:t>
                            </w:r>
                          </w:p>
                        </w:txbxContent>
                      </v:textbox>
                    </v:shape>
                  </w:pict>
                </mc:Fallback>
              </mc:AlternateContent>
            </w:r>
            <w:r w:rsidRPr="00A03636">
              <w:rPr>
                <w:rFonts w:ascii="Times New Roman" w:eastAsia="MS Mincho" w:hAnsi="Times New Roman" w:cs="Times New Roman"/>
                <w:b/>
                <w:sz w:val="20"/>
                <w:szCs w:val="20"/>
                <w:lang w:val="en-GB"/>
              </w:rPr>
              <w:t xml:space="preserve">      </w:t>
            </w:r>
            <w:r w:rsidRPr="00A03636">
              <w:rPr>
                <w:rFonts w:ascii="Times New Roman" w:eastAsia="MS Mincho" w:hAnsi="Times New Roman" w:cs="Times New Roman"/>
                <w:sz w:val="20"/>
                <w:szCs w:val="20"/>
                <w:lang w:val="en-GB"/>
              </w:rPr>
              <w:t>TDD configuration</w:t>
            </w:r>
          </w:p>
        </w:tc>
        <w:tc>
          <w:tcPr>
            <w:tcW w:w="930" w:type="dxa"/>
            <w:shd w:val="clear" w:color="auto" w:fill="DBE5F1"/>
            <w:vAlign w:val="center"/>
          </w:tcPr>
          <w:p w14:paraId="20C6A828" w14:textId="1B03F970"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#1</w:t>
            </w:r>
          </w:p>
        </w:tc>
        <w:tc>
          <w:tcPr>
            <w:tcW w:w="930" w:type="dxa"/>
            <w:shd w:val="clear" w:color="auto" w:fill="DBE5F1"/>
            <w:vAlign w:val="center"/>
          </w:tcPr>
          <w:p w14:paraId="002DCDA4" w14:textId="35B1D245"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#2</w:t>
            </w:r>
          </w:p>
        </w:tc>
        <w:tc>
          <w:tcPr>
            <w:tcW w:w="929" w:type="dxa"/>
            <w:shd w:val="clear" w:color="auto" w:fill="DBE5F1"/>
            <w:vAlign w:val="center"/>
          </w:tcPr>
          <w:p w14:paraId="694A67CF" w14:textId="0FB37050"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#3</w:t>
            </w:r>
          </w:p>
        </w:tc>
        <w:tc>
          <w:tcPr>
            <w:tcW w:w="930" w:type="dxa"/>
            <w:shd w:val="clear" w:color="auto" w:fill="DBE5F1"/>
            <w:vAlign w:val="center"/>
          </w:tcPr>
          <w:p w14:paraId="341F250E" w14:textId="21AFF3E8" w:rsidR="00127331" w:rsidRPr="00A03636" w:rsidRDefault="00127331" w:rsidP="00A03636">
            <w:pPr>
              <w:spacing w:after="120" w:line="240" w:lineRule="auto"/>
              <w:jc w:val="left"/>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#4</w:t>
            </w:r>
          </w:p>
        </w:tc>
        <w:tc>
          <w:tcPr>
            <w:tcW w:w="930" w:type="dxa"/>
            <w:shd w:val="clear" w:color="auto" w:fill="DBE5F1"/>
            <w:vAlign w:val="center"/>
          </w:tcPr>
          <w:p w14:paraId="157917F6" w14:textId="5804B014"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#5</w:t>
            </w:r>
          </w:p>
        </w:tc>
        <w:tc>
          <w:tcPr>
            <w:tcW w:w="1272" w:type="dxa"/>
            <w:shd w:val="clear" w:color="auto" w:fill="DBE5F1"/>
            <w:vAlign w:val="center"/>
          </w:tcPr>
          <w:p w14:paraId="2EAFA343" w14:textId="0BBD8E79"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#6</w:t>
            </w:r>
          </w:p>
        </w:tc>
      </w:tr>
      <w:tr w:rsidR="00127331" w:rsidRPr="00A03636" w14:paraId="063AF20C" w14:textId="6E72D34A" w:rsidTr="00127331">
        <w:trPr>
          <w:jc w:val="center"/>
        </w:trPr>
        <w:tc>
          <w:tcPr>
            <w:tcW w:w="2780" w:type="dxa"/>
            <w:vAlign w:val="center"/>
          </w:tcPr>
          <w:p w14:paraId="699D71CC"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sync</w:t>
            </w:r>
            <w:r w:rsidRPr="00A03636">
              <w:rPr>
                <w:rFonts w:ascii="Times New Roman" w:eastAsia="MS Mincho" w:hAnsi="Times New Roman" w:cs="Times New Roman"/>
                <w:sz w:val="20"/>
                <w:szCs w:val="20"/>
                <w:lang w:val="en-GB"/>
              </w:rPr>
              <w:t>(ms)</w:t>
            </w:r>
          </w:p>
        </w:tc>
        <w:tc>
          <w:tcPr>
            <w:tcW w:w="930" w:type="dxa"/>
            <w:vAlign w:val="center"/>
          </w:tcPr>
          <w:p w14:paraId="67872A0C" w14:textId="5EA7393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4764EF3E" w14:textId="55AB890F" w:rsidR="00127331" w:rsidRPr="00A03636" w:rsidRDefault="00127331" w:rsidP="00A03636">
            <w:pPr>
              <w:spacing w:after="120" w:line="240" w:lineRule="auto"/>
              <w:jc w:val="left"/>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 xml:space="preserve">   364</w:t>
            </w:r>
          </w:p>
        </w:tc>
        <w:tc>
          <w:tcPr>
            <w:tcW w:w="929" w:type="dxa"/>
            <w:vAlign w:val="center"/>
          </w:tcPr>
          <w:p w14:paraId="72685274" w14:textId="0BDD7CC0"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2AA3370D" w14:textId="090594C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460F0770" w14:textId="1ACE0E0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1272" w:type="dxa"/>
            <w:vAlign w:val="center"/>
          </w:tcPr>
          <w:p w14:paraId="44643475" w14:textId="7976D55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r>
      <w:tr w:rsidR="00127331" w:rsidRPr="00A03636" w14:paraId="1974B3BF" w14:textId="6C803955" w:rsidTr="00127331">
        <w:trPr>
          <w:jc w:val="center"/>
        </w:trPr>
        <w:tc>
          <w:tcPr>
            <w:tcW w:w="2780" w:type="dxa"/>
            <w:vAlign w:val="center"/>
          </w:tcPr>
          <w:p w14:paraId="1E6465A4"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MIB</w:t>
            </w:r>
            <w:r w:rsidRPr="00A03636">
              <w:rPr>
                <w:rFonts w:ascii="Times New Roman" w:eastAsia="MS Mincho" w:hAnsi="Times New Roman" w:cs="Times New Roman"/>
                <w:sz w:val="20"/>
                <w:szCs w:val="20"/>
                <w:lang w:val="en-GB"/>
              </w:rPr>
              <w:t>(ms)</w:t>
            </w:r>
          </w:p>
        </w:tc>
        <w:tc>
          <w:tcPr>
            <w:tcW w:w="930" w:type="dxa"/>
            <w:vAlign w:val="center"/>
          </w:tcPr>
          <w:p w14:paraId="5A117A05" w14:textId="5BF15D03"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6B82F16C" w14:textId="062E4B1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29" w:type="dxa"/>
            <w:vAlign w:val="center"/>
          </w:tcPr>
          <w:p w14:paraId="7C6D115F" w14:textId="60DF04C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242E4530" w14:textId="16F2BE1E"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2DF6C512" w14:textId="612D75D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1272" w:type="dxa"/>
            <w:vAlign w:val="center"/>
          </w:tcPr>
          <w:p w14:paraId="7144A9B0" w14:textId="527C1EA6"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r>
      <w:tr w:rsidR="00127331" w:rsidRPr="00A03636" w14:paraId="672F0206" w14:textId="77777777" w:rsidTr="00127331">
        <w:trPr>
          <w:jc w:val="center"/>
        </w:trPr>
        <w:tc>
          <w:tcPr>
            <w:tcW w:w="2780" w:type="dxa"/>
            <w:vAlign w:val="center"/>
          </w:tcPr>
          <w:p w14:paraId="39276DB2" w14:textId="6008AEE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Waiting for NPRACH</w:t>
            </w:r>
            <w:r>
              <w:rPr>
                <w:rFonts w:ascii="Times New Roman" w:eastAsia="MS Mincho" w:hAnsi="Times New Roman" w:cs="Times New Roman"/>
                <w:sz w:val="20"/>
                <w:szCs w:val="20"/>
                <w:lang w:val="en-GB"/>
              </w:rPr>
              <w:t xml:space="preserve"> (ms)</w:t>
            </w:r>
          </w:p>
        </w:tc>
        <w:tc>
          <w:tcPr>
            <w:tcW w:w="930" w:type="dxa"/>
            <w:vAlign w:val="center"/>
          </w:tcPr>
          <w:p w14:paraId="21DC4B6C" w14:textId="71DB609F"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480</w:t>
            </w:r>
          </w:p>
        </w:tc>
        <w:tc>
          <w:tcPr>
            <w:tcW w:w="930" w:type="dxa"/>
            <w:vAlign w:val="center"/>
          </w:tcPr>
          <w:p w14:paraId="1B4626CF" w14:textId="08169E9D"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29" w:type="dxa"/>
            <w:vAlign w:val="center"/>
          </w:tcPr>
          <w:p w14:paraId="6D4B8BFE" w14:textId="66CFA168"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w:t>
            </w:r>
          </w:p>
        </w:tc>
        <w:tc>
          <w:tcPr>
            <w:tcW w:w="930" w:type="dxa"/>
            <w:vAlign w:val="center"/>
          </w:tcPr>
          <w:p w14:paraId="06468357" w14:textId="467011B6"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30" w:type="dxa"/>
            <w:vAlign w:val="center"/>
          </w:tcPr>
          <w:p w14:paraId="5A296204" w14:textId="5464416B"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1920</w:t>
            </w:r>
          </w:p>
        </w:tc>
        <w:tc>
          <w:tcPr>
            <w:tcW w:w="1272" w:type="dxa"/>
            <w:vAlign w:val="center"/>
          </w:tcPr>
          <w:p w14:paraId="00A22340" w14:textId="252E7898"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640/960*</w:t>
            </w:r>
          </w:p>
        </w:tc>
      </w:tr>
      <w:tr w:rsidR="00127331" w:rsidRPr="00A03636" w14:paraId="653B2EE9" w14:textId="24BE1E09" w:rsidTr="00127331">
        <w:trPr>
          <w:jc w:val="center"/>
        </w:trPr>
        <w:tc>
          <w:tcPr>
            <w:tcW w:w="2780" w:type="dxa"/>
            <w:vAlign w:val="center"/>
          </w:tcPr>
          <w:p w14:paraId="2D207570"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lastRenderedPageBreak/>
              <w:t>T</w:t>
            </w:r>
            <w:r w:rsidRPr="00A03636">
              <w:rPr>
                <w:rFonts w:ascii="Times New Roman" w:eastAsia="MS Mincho" w:hAnsi="Times New Roman" w:cs="Times New Roman"/>
                <w:sz w:val="20"/>
                <w:szCs w:val="20"/>
                <w:vertAlign w:val="subscript"/>
                <w:lang w:val="en-GB"/>
              </w:rPr>
              <w:t>PRACH</w:t>
            </w:r>
            <w:r w:rsidRPr="00A03636">
              <w:rPr>
                <w:rFonts w:ascii="Times New Roman" w:eastAsia="MS Mincho" w:hAnsi="Times New Roman" w:cs="Times New Roman"/>
                <w:sz w:val="20"/>
                <w:szCs w:val="20"/>
                <w:lang w:val="en-GB"/>
              </w:rPr>
              <w:t>(ms)</w:t>
            </w:r>
          </w:p>
        </w:tc>
        <w:tc>
          <w:tcPr>
            <w:tcW w:w="930" w:type="dxa"/>
            <w:vAlign w:val="center"/>
          </w:tcPr>
          <w:p w14:paraId="08AE7C29" w14:textId="4648E52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480</w:t>
            </w:r>
          </w:p>
        </w:tc>
        <w:tc>
          <w:tcPr>
            <w:tcW w:w="930" w:type="dxa"/>
            <w:vAlign w:val="center"/>
          </w:tcPr>
          <w:p w14:paraId="28DDEF89" w14:textId="758C26E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29" w:type="dxa"/>
            <w:vAlign w:val="center"/>
          </w:tcPr>
          <w:p w14:paraId="6241A48A" w14:textId="1CBCF73C"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w:t>
            </w:r>
          </w:p>
        </w:tc>
        <w:tc>
          <w:tcPr>
            <w:tcW w:w="930" w:type="dxa"/>
            <w:vAlign w:val="center"/>
          </w:tcPr>
          <w:p w14:paraId="772702E2" w14:textId="18657CC2"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30" w:type="dxa"/>
            <w:vAlign w:val="center"/>
          </w:tcPr>
          <w:p w14:paraId="7C93283F" w14:textId="086FEEA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1920</w:t>
            </w:r>
          </w:p>
        </w:tc>
        <w:tc>
          <w:tcPr>
            <w:tcW w:w="1272" w:type="dxa"/>
            <w:vAlign w:val="center"/>
          </w:tcPr>
          <w:p w14:paraId="0792C4BA" w14:textId="49233DC8"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640/960*</w:t>
            </w:r>
          </w:p>
        </w:tc>
      </w:tr>
      <w:tr w:rsidR="00127331" w:rsidRPr="00A03636" w14:paraId="6F7A5C89" w14:textId="1CFE74FC" w:rsidTr="00127331">
        <w:trPr>
          <w:jc w:val="center"/>
        </w:trPr>
        <w:tc>
          <w:tcPr>
            <w:tcW w:w="2780" w:type="dxa"/>
            <w:vAlign w:val="center"/>
          </w:tcPr>
          <w:p w14:paraId="2A83A02D" w14:textId="6A1187C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RAmsg2-4</w:t>
            </w:r>
            <w:r w:rsidRPr="00A03636">
              <w:rPr>
                <w:rFonts w:ascii="Times New Roman" w:eastAsia="MS Mincho" w:hAnsi="Times New Roman" w:cs="Times New Roman"/>
                <w:sz w:val="20"/>
                <w:szCs w:val="20"/>
                <w:lang w:val="en-GB"/>
              </w:rPr>
              <w:t xml:space="preserve"> (ms)</w:t>
            </w:r>
            <w:r>
              <w:rPr>
                <w:rFonts w:ascii="Times New Roman" w:eastAsia="MS Mincho" w:hAnsi="Times New Roman" w:cs="Times New Roman"/>
                <w:sz w:val="20"/>
                <w:szCs w:val="20"/>
                <w:lang w:val="en-GB"/>
              </w:rPr>
              <w:t>, including waiting time for NPDCCH and ACK/NACK for msg4</w:t>
            </w:r>
          </w:p>
        </w:tc>
        <w:tc>
          <w:tcPr>
            <w:tcW w:w="930" w:type="dxa"/>
            <w:vAlign w:val="center"/>
          </w:tcPr>
          <w:p w14:paraId="435B533D" w14:textId="1A72512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2640</w:t>
            </w:r>
          </w:p>
        </w:tc>
        <w:tc>
          <w:tcPr>
            <w:tcW w:w="930" w:type="dxa"/>
            <w:vAlign w:val="center"/>
          </w:tcPr>
          <w:p w14:paraId="21951604" w14:textId="0D6BCBF3"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2934</w:t>
            </w:r>
          </w:p>
        </w:tc>
        <w:tc>
          <w:tcPr>
            <w:tcW w:w="929" w:type="dxa"/>
            <w:vAlign w:val="center"/>
          </w:tcPr>
          <w:p w14:paraId="67CE73B7" w14:textId="330E3D66"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2347</w:t>
            </w:r>
          </w:p>
        </w:tc>
        <w:tc>
          <w:tcPr>
            <w:tcW w:w="930" w:type="dxa"/>
            <w:vAlign w:val="center"/>
          </w:tcPr>
          <w:p w14:paraId="4927CEE8" w14:textId="6FB66FBC"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1886</w:t>
            </w:r>
          </w:p>
        </w:tc>
        <w:tc>
          <w:tcPr>
            <w:tcW w:w="930" w:type="dxa"/>
            <w:vAlign w:val="center"/>
          </w:tcPr>
          <w:p w14:paraId="14126D77" w14:textId="10B35527"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4400</w:t>
            </w:r>
          </w:p>
        </w:tc>
        <w:tc>
          <w:tcPr>
            <w:tcW w:w="1272" w:type="dxa"/>
            <w:vAlign w:val="center"/>
          </w:tcPr>
          <w:p w14:paraId="053803EF" w14:textId="421AF076"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3051</w:t>
            </w:r>
          </w:p>
        </w:tc>
      </w:tr>
      <w:tr w:rsidR="00127331" w:rsidRPr="00A03636" w14:paraId="3589D6A2" w14:textId="2520EADD" w:rsidTr="00127331">
        <w:trPr>
          <w:jc w:val="center"/>
        </w:trPr>
        <w:tc>
          <w:tcPr>
            <w:tcW w:w="2780" w:type="dxa"/>
            <w:vAlign w:val="center"/>
          </w:tcPr>
          <w:p w14:paraId="443CDFBE" w14:textId="7BA983B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ULgrant</w:t>
            </w:r>
            <w:r w:rsidRPr="00A03636">
              <w:rPr>
                <w:rFonts w:ascii="Times New Roman" w:eastAsia="MS Mincho" w:hAnsi="Times New Roman" w:cs="Times New Roman"/>
                <w:sz w:val="20"/>
                <w:szCs w:val="20"/>
                <w:lang w:val="en-GB"/>
              </w:rPr>
              <w:t>(ms)</w:t>
            </w:r>
            <w:r>
              <w:rPr>
                <w:rFonts w:ascii="Times New Roman" w:eastAsia="MS Mincho" w:hAnsi="Times New Roman" w:cs="Times New Roman"/>
                <w:sz w:val="20"/>
                <w:szCs w:val="20"/>
                <w:lang w:val="en-GB"/>
              </w:rPr>
              <w:t>, including waiting time for NPDCCH</w:t>
            </w:r>
          </w:p>
        </w:tc>
        <w:tc>
          <w:tcPr>
            <w:tcW w:w="930" w:type="dxa"/>
            <w:vAlign w:val="center"/>
          </w:tcPr>
          <w:p w14:paraId="7F5521C4" w14:textId="45D1664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800</w:t>
            </w:r>
          </w:p>
        </w:tc>
        <w:tc>
          <w:tcPr>
            <w:tcW w:w="930" w:type="dxa"/>
            <w:vAlign w:val="center"/>
          </w:tcPr>
          <w:p w14:paraId="7FFD5A9B" w14:textId="7375CCC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29" w:type="dxa"/>
            <w:vAlign w:val="center"/>
          </w:tcPr>
          <w:p w14:paraId="2CE70B69" w14:textId="1CC229A8"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30" w:type="dxa"/>
            <w:vAlign w:val="center"/>
          </w:tcPr>
          <w:p w14:paraId="12313A8C" w14:textId="68D1A81B"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457</w:t>
            </w:r>
          </w:p>
        </w:tc>
        <w:tc>
          <w:tcPr>
            <w:tcW w:w="930" w:type="dxa"/>
            <w:vAlign w:val="center"/>
          </w:tcPr>
          <w:p w14:paraId="3042AD31" w14:textId="0E0051BE"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400</w:t>
            </w:r>
          </w:p>
        </w:tc>
        <w:tc>
          <w:tcPr>
            <w:tcW w:w="1272" w:type="dxa"/>
            <w:vAlign w:val="center"/>
          </w:tcPr>
          <w:p w14:paraId="616A54A8" w14:textId="0CCBEC35" w:rsidR="00127331" w:rsidRPr="00A03636" w:rsidRDefault="00127331" w:rsidP="0055154A">
            <w:pPr>
              <w:spacing w:after="120" w:line="240" w:lineRule="auto"/>
              <w:jc w:val="lef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   1067</w:t>
            </w:r>
          </w:p>
        </w:tc>
      </w:tr>
      <w:tr w:rsidR="00127331" w:rsidRPr="00A03636" w14:paraId="2DC584D8" w14:textId="53433C6E" w:rsidTr="00127331">
        <w:trPr>
          <w:jc w:val="center"/>
        </w:trPr>
        <w:tc>
          <w:tcPr>
            <w:tcW w:w="2780" w:type="dxa"/>
            <w:vAlign w:val="center"/>
          </w:tcPr>
          <w:p w14:paraId="03FBD51B" w14:textId="4EDFA45D"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ULdata</w:t>
            </w:r>
            <w:r w:rsidRPr="00A03636">
              <w:rPr>
                <w:rFonts w:ascii="Times New Roman" w:eastAsia="MS Mincho" w:hAnsi="Times New Roman" w:cs="Times New Roman"/>
                <w:sz w:val="20"/>
                <w:szCs w:val="20"/>
                <w:lang w:val="en-GB"/>
              </w:rPr>
              <w:t>(ms)</w:t>
            </w:r>
          </w:p>
        </w:tc>
        <w:tc>
          <w:tcPr>
            <w:tcW w:w="930" w:type="dxa"/>
            <w:vAlign w:val="center"/>
          </w:tcPr>
          <w:p w14:paraId="61D920D7" w14:textId="4EAB7DE0"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6400</w:t>
            </w:r>
          </w:p>
        </w:tc>
        <w:tc>
          <w:tcPr>
            <w:tcW w:w="930" w:type="dxa"/>
            <w:vAlign w:val="center"/>
          </w:tcPr>
          <w:p w14:paraId="61CDC32D" w14:textId="2408E287"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12800</w:t>
            </w:r>
          </w:p>
        </w:tc>
        <w:tc>
          <w:tcPr>
            <w:tcW w:w="929" w:type="dxa"/>
            <w:vAlign w:val="center"/>
          </w:tcPr>
          <w:p w14:paraId="392B7C65" w14:textId="03E71AF4"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8533</w:t>
            </w:r>
          </w:p>
        </w:tc>
        <w:tc>
          <w:tcPr>
            <w:tcW w:w="930" w:type="dxa"/>
            <w:vAlign w:val="center"/>
          </w:tcPr>
          <w:p w14:paraId="6076A8D0" w14:textId="5401C82C"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12800</w:t>
            </w:r>
          </w:p>
        </w:tc>
        <w:tc>
          <w:tcPr>
            <w:tcW w:w="930" w:type="dxa"/>
            <w:vAlign w:val="center"/>
          </w:tcPr>
          <w:p w14:paraId="1E44D040" w14:textId="63692F67"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25600</w:t>
            </w:r>
          </w:p>
        </w:tc>
        <w:tc>
          <w:tcPr>
            <w:tcW w:w="1272" w:type="dxa"/>
            <w:vAlign w:val="center"/>
          </w:tcPr>
          <w:p w14:paraId="498FAE93" w14:textId="554C6014"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5120</w:t>
            </w:r>
          </w:p>
        </w:tc>
      </w:tr>
      <w:tr w:rsidR="00127331" w:rsidRPr="00A03636" w14:paraId="38DF8C46" w14:textId="194AA755" w:rsidTr="00127331">
        <w:trPr>
          <w:jc w:val="center"/>
        </w:trPr>
        <w:tc>
          <w:tcPr>
            <w:tcW w:w="2780" w:type="dxa"/>
            <w:vAlign w:val="center"/>
          </w:tcPr>
          <w:p w14:paraId="0D8610BD" w14:textId="77777777"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Total time (ms)</w:t>
            </w:r>
          </w:p>
        </w:tc>
        <w:tc>
          <w:tcPr>
            <w:tcW w:w="930" w:type="dxa"/>
            <w:vAlign w:val="center"/>
          </w:tcPr>
          <w:p w14:paraId="179C7224" w14:textId="47AAF306"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DF6B15">
              <w:rPr>
                <w:rFonts w:ascii="Times New Roman" w:eastAsia="MS Mincho" w:hAnsi="Times New Roman" w:cs="Times New Roman"/>
                <w:sz w:val="20"/>
                <w:szCs w:val="20"/>
                <w:lang w:val="en-GB"/>
              </w:rPr>
              <w:t>1179</w:t>
            </w:r>
            <w:r>
              <w:rPr>
                <w:rFonts w:ascii="Times New Roman" w:eastAsia="MS Mincho" w:hAnsi="Times New Roman" w:cs="Times New Roman"/>
                <w:sz w:val="20"/>
                <w:szCs w:val="20"/>
                <w:lang w:val="en-GB"/>
              </w:rPr>
              <w:t>5</w:t>
            </w:r>
          </w:p>
        </w:tc>
        <w:tc>
          <w:tcPr>
            <w:tcW w:w="930" w:type="dxa"/>
            <w:vAlign w:val="center"/>
          </w:tcPr>
          <w:p w14:paraId="67D38699" w14:textId="043A193B"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19183</w:t>
            </w:r>
          </w:p>
        </w:tc>
        <w:tc>
          <w:tcPr>
            <w:tcW w:w="929" w:type="dxa"/>
            <w:vAlign w:val="center"/>
          </w:tcPr>
          <w:p w14:paraId="1E94CD5F" w14:textId="43E69D10"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55154A">
              <w:rPr>
                <w:rFonts w:ascii="Times New Roman" w:eastAsia="MS Mincho" w:hAnsi="Times New Roman" w:cs="Times New Roman"/>
                <w:color w:val="000000"/>
                <w:sz w:val="20"/>
                <w:szCs w:val="20"/>
                <w:lang w:val="en-GB"/>
              </w:rPr>
              <w:t>1368</w:t>
            </w:r>
            <w:r>
              <w:rPr>
                <w:rFonts w:ascii="Times New Roman" w:eastAsia="MS Mincho" w:hAnsi="Times New Roman" w:cs="Times New Roman"/>
                <w:color w:val="000000"/>
                <w:sz w:val="20"/>
                <w:szCs w:val="20"/>
                <w:lang w:val="en-GB"/>
              </w:rPr>
              <w:t>9</w:t>
            </w:r>
          </w:p>
        </w:tc>
        <w:tc>
          <w:tcPr>
            <w:tcW w:w="930" w:type="dxa"/>
            <w:vAlign w:val="center"/>
          </w:tcPr>
          <w:p w14:paraId="3418026D" w14:textId="0124443C"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1805</w:t>
            </w:r>
            <w:r>
              <w:rPr>
                <w:rFonts w:ascii="Times New Roman" w:eastAsia="MS Mincho" w:hAnsi="Times New Roman" w:cs="Times New Roman"/>
                <w:color w:val="000000"/>
                <w:sz w:val="20"/>
                <w:szCs w:val="20"/>
                <w:lang w:val="en-GB"/>
              </w:rPr>
              <w:t>8</w:t>
            </w:r>
          </w:p>
        </w:tc>
        <w:tc>
          <w:tcPr>
            <w:tcW w:w="930" w:type="dxa"/>
            <w:vAlign w:val="center"/>
          </w:tcPr>
          <w:p w14:paraId="03114088" w14:textId="675A67F8"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352</w:t>
            </w:r>
            <w:r>
              <w:rPr>
                <w:rFonts w:ascii="Times New Roman" w:eastAsia="MS Mincho" w:hAnsi="Times New Roman" w:cs="Times New Roman"/>
                <w:color w:val="000000"/>
                <w:sz w:val="20"/>
                <w:szCs w:val="20"/>
                <w:lang w:val="en-GB"/>
              </w:rPr>
              <w:t>35</w:t>
            </w:r>
          </w:p>
        </w:tc>
        <w:tc>
          <w:tcPr>
            <w:tcW w:w="1272" w:type="dxa"/>
            <w:vAlign w:val="center"/>
          </w:tcPr>
          <w:p w14:paraId="4B95B562" w14:textId="12537B73"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11352/11672</w:t>
            </w:r>
          </w:p>
        </w:tc>
      </w:tr>
    </w:tbl>
    <w:p w14:paraId="1672F858" w14:textId="59248974" w:rsidR="00A03636" w:rsidRPr="004B19F7" w:rsidRDefault="00144D2D" w:rsidP="001657E8">
      <w:pPr>
        <w:spacing w:after="0" w:line="240" w:lineRule="auto"/>
        <w:jc w:val="both"/>
        <w:rPr>
          <w:rFonts w:ascii="Times New Roman" w:eastAsia="Times New Roman" w:hAnsi="Times New Roman" w:cs="Times New Roman"/>
          <w:sz w:val="16"/>
          <w:szCs w:val="16"/>
        </w:rPr>
      </w:pPr>
      <w:r w:rsidRPr="004B19F7">
        <w:rPr>
          <w:rFonts w:ascii="Times New Roman" w:eastAsia="Times New Roman" w:hAnsi="Times New Roman" w:cs="Times New Roman"/>
          <w:sz w:val="16"/>
          <w:szCs w:val="16"/>
        </w:rPr>
        <w:t xml:space="preserve">*Note: </w:t>
      </w:r>
      <w:r w:rsidR="001A1BB7" w:rsidRPr="004B19F7">
        <w:rPr>
          <w:rFonts w:ascii="Times New Roman" w:eastAsia="Times New Roman" w:hAnsi="Times New Roman" w:cs="Times New Roman"/>
          <w:sz w:val="16"/>
          <w:szCs w:val="16"/>
        </w:rPr>
        <w:t xml:space="preserve">TDD configuration #6 has an unbalanced number of UL within a radio frame. Thus, the latency is </w:t>
      </w:r>
      <w:r w:rsidRPr="004B19F7">
        <w:rPr>
          <w:rFonts w:ascii="Times New Roman" w:hAnsi="Times New Roman" w:cs="Times New Roman"/>
          <w:sz w:val="16"/>
          <w:szCs w:val="16"/>
        </w:rPr>
        <w:t xml:space="preserve">640ms when </w:t>
      </w:r>
      <w:r w:rsidR="001A1BB7" w:rsidRPr="004B19F7">
        <w:rPr>
          <w:rFonts w:ascii="Times New Roman" w:hAnsi="Times New Roman" w:cs="Times New Roman"/>
          <w:sz w:val="16"/>
          <w:szCs w:val="16"/>
        </w:rPr>
        <w:t xml:space="preserve">NPRACH </w:t>
      </w:r>
      <w:r w:rsidRPr="004B19F7">
        <w:rPr>
          <w:rFonts w:ascii="Times New Roman" w:hAnsi="Times New Roman" w:cs="Times New Roman"/>
          <w:sz w:val="16"/>
          <w:szCs w:val="16"/>
        </w:rPr>
        <w:t xml:space="preserve">Format 2 is used and </w:t>
      </w:r>
      <w:r w:rsidRPr="004B19F7">
        <w:rPr>
          <w:rFonts w:ascii="Times New Roman" w:hAnsi="Times New Roman" w:cs="Times New Roman"/>
          <w:bCs/>
          <w:sz w:val="16"/>
          <w:szCs w:val="16"/>
          <w:lang w:eastAsia="ja-JP"/>
        </w:rPr>
        <w:t>two symbol groups fit in 3 UL subframes</w:t>
      </w:r>
      <w:r w:rsidRPr="004B19F7">
        <w:rPr>
          <w:rFonts w:ascii="Times New Roman" w:hAnsi="Times New Roman" w:cs="Times New Roman"/>
          <w:sz w:val="16"/>
          <w:szCs w:val="16"/>
        </w:rPr>
        <w:t xml:space="preserve"> (</w:t>
      </w:r>
      <w:r w:rsidR="001A1BB7" w:rsidRPr="004B19F7">
        <w:rPr>
          <w:rFonts w:ascii="Times New Roman" w:hAnsi="Times New Roman" w:cs="Times New Roman"/>
          <w:sz w:val="16"/>
          <w:szCs w:val="16"/>
        </w:rPr>
        <w:t xml:space="preserve">i.e., </w:t>
      </w:r>
      <w:r w:rsidRPr="004B19F7">
        <w:rPr>
          <w:rFonts w:ascii="Times New Roman" w:hAnsi="Times New Roman" w:cs="Times New Roman"/>
          <w:sz w:val="16"/>
          <w:szCs w:val="16"/>
        </w:rPr>
        <w:t xml:space="preserve">two ULs per radio frame wouldn’t be used by NPRACH) / 960ms when </w:t>
      </w:r>
      <w:r w:rsidR="001A1BB7" w:rsidRPr="004B19F7">
        <w:rPr>
          <w:rFonts w:ascii="Times New Roman" w:hAnsi="Times New Roman" w:cs="Times New Roman"/>
          <w:sz w:val="16"/>
          <w:szCs w:val="16"/>
        </w:rPr>
        <w:t xml:space="preserve">NPRACH </w:t>
      </w:r>
      <w:r w:rsidRPr="004B19F7">
        <w:rPr>
          <w:rFonts w:ascii="Times New Roman" w:hAnsi="Times New Roman" w:cs="Times New Roman"/>
          <w:sz w:val="16"/>
          <w:szCs w:val="16"/>
        </w:rPr>
        <w:t xml:space="preserve">Format 1 is used and </w:t>
      </w:r>
      <w:r w:rsidRPr="004B19F7">
        <w:rPr>
          <w:rFonts w:ascii="Times New Roman" w:hAnsi="Times New Roman" w:cs="Times New Roman"/>
          <w:bCs/>
          <w:sz w:val="16"/>
          <w:szCs w:val="16"/>
          <w:lang w:eastAsia="ja-JP"/>
        </w:rPr>
        <w:t>two symbol groups fit in 2 UL subframes</w:t>
      </w:r>
      <w:r w:rsidRPr="004B19F7">
        <w:rPr>
          <w:rFonts w:ascii="Times New Roman" w:hAnsi="Times New Roman" w:cs="Times New Roman"/>
          <w:sz w:val="16"/>
          <w:szCs w:val="16"/>
        </w:rPr>
        <w:t xml:space="preserve">  (</w:t>
      </w:r>
      <w:r w:rsidR="001A1BB7" w:rsidRPr="004B19F7">
        <w:rPr>
          <w:rFonts w:ascii="Times New Roman" w:hAnsi="Times New Roman" w:cs="Times New Roman"/>
          <w:sz w:val="16"/>
          <w:szCs w:val="16"/>
        </w:rPr>
        <w:t>i.e.,</w:t>
      </w:r>
      <w:r w:rsidRPr="004B19F7">
        <w:rPr>
          <w:rFonts w:ascii="Times New Roman" w:hAnsi="Times New Roman" w:cs="Times New Roman"/>
          <w:sz w:val="16"/>
          <w:szCs w:val="16"/>
        </w:rPr>
        <w:t xml:space="preserve"> three ULs per radio frame wouldn’t be used by NPRACH).</w:t>
      </w:r>
    </w:p>
    <w:p w14:paraId="707C7B4B" w14:textId="77777777" w:rsidR="00A03636" w:rsidRPr="004B19F7" w:rsidRDefault="00A03636" w:rsidP="001657E8">
      <w:pPr>
        <w:spacing w:after="0" w:line="240" w:lineRule="auto"/>
        <w:jc w:val="both"/>
        <w:rPr>
          <w:rFonts w:ascii="Times New Roman" w:eastAsia="Times New Roman" w:hAnsi="Times New Roman" w:cs="Times New Roman"/>
          <w:sz w:val="20"/>
        </w:rPr>
      </w:pPr>
    </w:p>
    <w:p w14:paraId="54A38540" w14:textId="2B9FC3E9" w:rsidR="00B6521C" w:rsidRPr="004B19F7" w:rsidRDefault="00DF6B15" w:rsidP="001657E8">
      <w:pPr>
        <w:spacing w:after="0" w:line="240" w:lineRule="auto"/>
        <w:jc w:val="both"/>
        <w:rPr>
          <w:rFonts w:ascii="Times New Roman" w:eastAsia="Times New Roman" w:hAnsi="Times New Roman" w:cs="Times New Roman"/>
          <w:sz w:val="20"/>
        </w:rPr>
      </w:pPr>
      <w:r w:rsidRPr="004B19F7">
        <w:rPr>
          <w:rFonts w:ascii="Times New Roman" w:eastAsia="Times New Roman" w:hAnsi="Times New Roman" w:cs="Times New Roman"/>
          <w:sz w:val="20"/>
        </w:rPr>
        <w:t xml:space="preserve">As we can see that there is none of the TDD configurations can meet the 10 seconds latency requirements even for the standalone case at 164 dB MCL. Hence, we can </w:t>
      </w:r>
      <w:r w:rsidR="00185920" w:rsidRPr="004B19F7">
        <w:rPr>
          <w:rFonts w:ascii="Times New Roman" w:eastAsia="Times New Roman" w:hAnsi="Times New Roman" w:cs="Times New Roman"/>
          <w:sz w:val="20"/>
        </w:rPr>
        <w:t xml:space="preserve">expect a larger </w:t>
      </w:r>
      <w:r w:rsidRPr="004B19F7">
        <w:rPr>
          <w:rFonts w:ascii="Times New Roman" w:eastAsia="Times New Roman" w:hAnsi="Times New Roman" w:cs="Times New Roman"/>
          <w:sz w:val="20"/>
        </w:rPr>
        <w:t xml:space="preserve">latency for the inband/guardband cases. </w:t>
      </w:r>
      <w:r w:rsidR="00643D5A" w:rsidRPr="004B19F7">
        <w:rPr>
          <w:rFonts w:ascii="Times New Roman" w:eastAsia="Times New Roman" w:hAnsi="Times New Roman" w:cs="Times New Roman"/>
          <w:sz w:val="20"/>
        </w:rPr>
        <w:t xml:space="preserve">This indicates that the application layer data rate of 160 bps cannot be guaranteed at the 164 dB MCL. </w:t>
      </w:r>
      <w:r w:rsidRPr="004B19F7">
        <w:rPr>
          <w:rFonts w:ascii="Times New Roman" w:eastAsia="Times New Roman" w:hAnsi="Times New Roman" w:cs="Times New Roman"/>
          <w:sz w:val="20"/>
        </w:rPr>
        <w:t>Therefore, t</w:t>
      </w:r>
      <w:r w:rsidR="00B6521C" w:rsidRPr="004B19F7">
        <w:rPr>
          <w:rFonts w:ascii="Times New Roman" w:eastAsia="Times New Roman" w:hAnsi="Times New Roman" w:cs="Times New Roman"/>
          <w:sz w:val="20"/>
        </w:rPr>
        <w:t>he above MCL target seems to be too aggressive to be met</w:t>
      </w:r>
      <w:r w:rsidR="0019700E" w:rsidRPr="004B19F7">
        <w:rPr>
          <w:rFonts w:ascii="Times New Roman" w:eastAsia="Times New Roman" w:hAnsi="Times New Roman" w:cs="Times New Roman"/>
          <w:sz w:val="20"/>
        </w:rPr>
        <w:t>,</w:t>
      </w:r>
      <w:r w:rsidR="00B6521C" w:rsidRPr="004B19F7">
        <w:rPr>
          <w:rFonts w:ascii="Times New Roman" w:eastAsia="Times New Roman" w:hAnsi="Times New Roman" w:cs="Times New Roman"/>
          <w:sz w:val="20"/>
        </w:rPr>
        <w:t xml:space="preserve"> since not all the subframes </w:t>
      </w:r>
      <w:r w:rsidR="00292B7D" w:rsidRPr="004B19F7">
        <w:rPr>
          <w:rFonts w:ascii="Times New Roman" w:eastAsia="Times New Roman" w:hAnsi="Times New Roman" w:cs="Times New Roman"/>
          <w:sz w:val="20"/>
        </w:rPr>
        <w:t xml:space="preserve">in </w:t>
      </w:r>
      <w:r w:rsidR="004360E5" w:rsidRPr="004B19F7">
        <w:rPr>
          <w:rFonts w:ascii="Times New Roman" w:eastAsia="Times New Roman" w:hAnsi="Times New Roman" w:cs="Times New Roman"/>
          <w:sz w:val="20"/>
        </w:rPr>
        <w:t xml:space="preserve">a </w:t>
      </w:r>
      <w:r w:rsidR="00292B7D" w:rsidRPr="004B19F7">
        <w:rPr>
          <w:rFonts w:ascii="Times New Roman" w:eastAsia="Times New Roman" w:hAnsi="Times New Roman" w:cs="Times New Roman"/>
          <w:sz w:val="20"/>
        </w:rPr>
        <w:t xml:space="preserve">radio frame </w:t>
      </w:r>
      <w:r w:rsidR="00B6521C" w:rsidRPr="004B19F7">
        <w:rPr>
          <w:rFonts w:ascii="Times New Roman" w:eastAsia="Times New Roman" w:hAnsi="Times New Roman" w:cs="Times New Roman"/>
          <w:sz w:val="20"/>
        </w:rPr>
        <w:t xml:space="preserve">are </w:t>
      </w:r>
      <w:r w:rsidR="00292B7D" w:rsidRPr="004B19F7">
        <w:rPr>
          <w:rFonts w:ascii="Times New Roman" w:eastAsia="Times New Roman" w:hAnsi="Times New Roman" w:cs="Times New Roman"/>
          <w:sz w:val="20"/>
        </w:rPr>
        <w:t>usable</w:t>
      </w:r>
      <w:r w:rsidR="00B6521C" w:rsidRPr="004B19F7">
        <w:rPr>
          <w:rFonts w:ascii="Times New Roman" w:eastAsia="Times New Roman" w:hAnsi="Times New Roman" w:cs="Times New Roman"/>
          <w:sz w:val="20"/>
        </w:rPr>
        <w:t xml:space="preserve"> for DL</w:t>
      </w:r>
      <w:r w:rsidR="00292B7D" w:rsidRPr="004B19F7">
        <w:rPr>
          <w:rFonts w:ascii="Times New Roman" w:eastAsia="Times New Roman" w:hAnsi="Times New Roman" w:cs="Times New Roman"/>
          <w:sz w:val="20"/>
        </w:rPr>
        <w:t xml:space="preserve"> or UL</w:t>
      </w:r>
      <w:r w:rsidR="001657E8" w:rsidRPr="004B19F7">
        <w:rPr>
          <w:rFonts w:ascii="Times New Roman" w:eastAsia="Times New Roman" w:hAnsi="Times New Roman" w:cs="Times New Roman"/>
          <w:sz w:val="20"/>
        </w:rPr>
        <w:t xml:space="preserve"> respectively</w:t>
      </w:r>
      <w:r w:rsidR="00B6521C" w:rsidRPr="004B19F7">
        <w:rPr>
          <w:rFonts w:ascii="Times New Roman" w:eastAsia="Times New Roman" w:hAnsi="Times New Roman" w:cs="Times New Roman"/>
          <w:sz w:val="20"/>
        </w:rPr>
        <w:t>.</w:t>
      </w:r>
      <w:r w:rsidR="00292B7D" w:rsidRPr="004B19F7">
        <w:rPr>
          <w:rFonts w:ascii="Times New Roman" w:eastAsia="Times New Roman" w:hAnsi="Times New Roman" w:cs="Times New Roman"/>
          <w:sz w:val="20"/>
        </w:rPr>
        <w:t xml:space="preserve"> Thus, </w:t>
      </w:r>
      <w:r w:rsidR="0019700E" w:rsidRPr="004B19F7">
        <w:rPr>
          <w:rFonts w:ascii="Times New Roman" w:eastAsia="Times New Roman" w:hAnsi="Times New Roman" w:cs="Times New Roman"/>
          <w:sz w:val="20"/>
        </w:rPr>
        <w:t>we will have to find a way to compensate for the lack of available resources in both directions</w:t>
      </w:r>
      <w:r w:rsidR="008F27D9" w:rsidRPr="004B19F7">
        <w:rPr>
          <w:rFonts w:ascii="Times New Roman" w:eastAsia="Times New Roman" w:hAnsi="Times New Roman" w:cs="Times New Roman"/>
          <w:sz w:val="20"/>
        </w:rPr>
        <w:t>, which</w:t>
      </w:r>
      <w:r w:rsidR="00292B7D" w:rsidRPr="004B19F7">
        <w:rPr>
          <w:rFonts w:ascii="Times New Roman" w:eastAsia="Times New Roman" w:hAnsi="Times New Roman" w:cs="Times New Roman"/>
          <w:sz w:val="20"/>
        </w:rPr>
        <w:t xml:space="preserve"> may </w:t>
      </w:r>
      <w:r w:rsidR="00920072" w:rsidRPr="004B19F7">
        <w:rPr>
          <w:rFonts w:ascii="Times New Roman" w:eastAsia="Times New Roman" w:hAnsi="Times New Roman" w:cs="Times New Roman"/>
          <w:sz w:val="20"/>
        </w:rPr>
        <w:t xml:space="preserve">easily </w:t>
      </w:r>
      <w:r w:rsidR="00292B7D" w:rsidRPr="004B19F7">
        <w:rPr>
          <w:rFonts w:ascii="Times New Roman" w:eastAsia="Times New Roman" w:hAnsi="Times New Roman" w:cs="Times New Roman"/>
          <w:sz w:val="20"/>
        </w:rPr>
        <w:t xml:space="preserve">take us to consider </w:t>
      </w:r>
      <w:r w:rsidR="001657E8" w:rsidRPr="004B19F7">
        <w:rPr>
          <w:rFonts w:ascii="Times New Roman" w:eastAsia="Times New Roman" w:hAnsi="Times New Roman" w:cs="Times New Roman"/>
          <w:sz w:val="20"/>
        </w:rPr>
        <w:t>(i.e., among</w:t>
      </w:r>
      <w:r w:rsidR="00292B7D" w:rsidRPr="004B19F7">
        <w:rPr>
          <w:rFonts w:ascii="Times New Roman" w:eastAsia="Times New Roman" w:hAnsi="Times New Roman" w:cs="Times New Roman"/>
          <w:sz w:val="20"/>
        </w:rPr>
        <w:t xml:space="preserve"> other things</w:t>
      </w:r>
      <w:r w:rsidR="001657E8" w:rsidRPr="004B19F7">
        <w:rPr>
          <w:rFonts w:ascii="Times New Roman" w:eastAsia="Times New Roman" w:hAnsi="Times New Roman" w:cs="Times New Roman"/>
          <w:sz w:val="20"/>
        </w:rPr>
        <w:t>) the following</w:t>
      </w:r>
      <w:r w:rsidR="00292B7D" w:rsidRPr="004B19F7">
        <w:rPr>
          <w:rFonts w:ascii="Times New Roman" w:eastAsia="Times New Roman" w:hAnsi="Times New Roman" w:cs="Times New Roman"/>
          <w:sz w:val="20"/>
        </w:rPr>
        <w:t>:</w:t>
      </w:r>
    </w:p>
    <w:p w14:paraId="321D481E" w14:textId="77777777" w:rsidR="00292B7D" w:rsidRPr="004B19F7" w:rsidRDefault="00292B7D" w:rsidP="00B6521C">
      <w:pPr>
        <w:spacing w:after="0" w:line="240" w:lineRule="auto"/>
        <w:rPr>
          <w:rFonts w:ascii="Times New Roman" w:eastAsia="Times New Roman" w:hAnsi="Times New Roman" w:cs="Times New Roman"/>
          <w:sz w:val="20"/>
        </w:rPr>
      </w:pPr>
    </w:p>
    <w:p w14:paraId="4379CC4F" w14:textId="0E95983A" w:rsidR="00292B7D" w:rsidRPr="004B19F7" w:rsidRDefault="004360E5" w:rsidP="00185920">
      <w:pPr>
        <w:numPr>
          <w:ilvl w:val="1"/>
          <w:numId w:val="13"/>
        </w:numPr>
        <w:spacing w:after="0" w:line="240" w:lineRule="auto"/>
        <w:rPr>
          <w:rFonts w:ascii="Times New Roman" w:eastAsia="Times New Roman" w:hAnsi="Times New Roman" w:cs="Times New Roman"/>
          <w:sz w:val="20"/>
        </w:rPr>
      </w:pPr>
      <w:r w:rsidRPr="004B19F7">
        <w:rPr>
          <w:rFonts w:ascii="Times New Roman" w:eastAsia="Times New Roman" w:hAnsi="Times New Roman" w:cs="Times New Roman"/>
          <w:sz w:val="20"/>
        </w:rPr>
        <w:t>Ending up with an</w:t>
      </w:r>
      <w:r w:rsidR="00292B7D" w:rsidRPr="004B19F7">
        <w:rPr>
          <w:rFonts w:ascii="Times New Roman" w:eastAsia="Times New Roman" w:hAnsi="Times New Roman" w:cs="Times New Roman"/>
          <w:sz w:val="20"/>
        </w:rPr>
        <w:t xml:space="preserve"> excessive relaxation of the latency for NB-IoT TDD</w:t>
      </w:r>
      <w:r w:rsidR="001657E8" w:rsidRPr="004B19F7">
        <w:rPr>
          <w:rFonts w:ascii="Times New Roman" w:eastAsia="Times New Roman" w:hAnsi="Times New Roman" w:cs="Times New Roman"/>
          <w:sz w:val="20"/>
        </w:rPr>
        <w:t>.</w:t>
      </w:r>
    </w:p>
    <w:p w14:paraId="203BDB1E" w14:textId="1FD72A89" w:rsidR="00B6521C" w:rsidRPr="004B19F7" w:rsidRDefault="001657E8" w:rsidP="00185920">
      <w:pPr>
        <w:numPr>
          <w:ilvl w:val="1"/>
          <w:numId w:val="13"/>
        </w:numPr>
        <w:spacing w:after="0" w:line="240" w:lineRule="auto"/>
        <w:rPr>
          <w:rFonts w:ascii="Times New Roman" w:eastAsia="Times New Roman" w:hAnsi="Times New Roman" w:cs="Times New Roman"/>
          <w:sz w:val="20"/>
        </w:rPr>
      </w:pPr>
      <w:r w:rsidRPr="004B19F7">
        <w:rPr>
          <w:rFonts w:ascii="Times New Roman" w:eastAsia="Times New Roman" w:hAnsi="Times New Roman" w:cs="Times New Roman"/>
          <w:sz w:val="20"/>
        </w:rPr>
        <w:t xml:space="preserve">The need of using a much more </w:t>
      </w:r>
      <w:r w:rsidR="00B6521C" w:rsidRPr="004B19F7">
        <w:rPr>
          <w:rFonts w:ascii="Times New Roman" w:eastAsia="Times New Roman" w:hAnsi="Times New Roman" w:cs="Times New Roman"/>
          <w:sz w:val="20"/>
        </w:rPr>
        <w:t xml:space="preserve">aggressive </w:t>
      </w:r>
      <w:r w:rsidRPr="004B19F7">
        <w:rPr>
          <w:rFonts w:ascii="Times New Roman" w:eastAsia="Times New Roman" w:hAnsi="Times New Roman" w:cs="Times New Roman"/>
          <w:sz w:val="20"/>
        </w:rPr>
        <w:t>channel estimator.</w:t>
      </w:r>
    </w:p>
    <w:p w14:paraId="7CE24FF6" w14:textId="0BD3C43F" w:rsidR="001657E8" w:rsidRPr="004B19F7" w:rsidRDefault="001657E8" w:rsidP="00185920">
      <w:pPr>
        <w:numPr>
          <w:ilvl w:val="1"/>
          <w:numId w:val="13"/>
        </w:numPr>
        <w:spacing w:after="0" w:line="240" w:lineRule="auto"/>
        <w:rPr>
          <w:rFonts w:ascii="Times New Roman" w:eastAsia="Times New Roman" w:hAnsi="Times New Roman" w:cs="Times New Roman"/>
          <w:sz w:val="20"/>
        </w:rPr>
      </w:pPr>
      <w:r w:rsidRPr="004B19F7">
        <w:rPr>
          <w:rFonts w:ascii="Times New Roman" w:eastAsia="Times New Roman" w:hAnsi="Times New Roman" w:cs="Times New Roman"/>
          <w:sz w:val="20"/>
        </w:rPr>
        <w:t>Make use of the DwPTS, and UpPTS in the special subframes.</w:t>
      </w:r>
    </w:p>
    <w:p w14:paraId="561C4EEC" w14:textId="77777777" w:rsidR="008F27D9" w:rsidRPr="004B19F7" w:rsidRDefault="008F27D9" w:rsidP="008F27D9">
      <w:pPr>
        <w:spacing w:after="0" w:line="240" w:lineRule="auto"/>
        <w:ind w:left="1440"/>
        <w:rPr>
          <w:rFonts w:ascii="Times New Roman" w:eastAsia="Times New Roman" w:hAnsi="Times New Roman" w:cs="Times New Roman"/>
          <w:sz w:val="20"/>
        </w:rPr>
      </w:pPr>
    </w:p>
    <w:p w14:paraId="6D5906F7" w14:textId="30FC7677" w:rsidR="00292B7D" w:rsidRPr="004B19F7" w:rsidRDefault="001657E8" w:rsidP="004E6FD5">
      <w:pPr>
        <w:spacing w:after="0" w:line="240" w:lineRule="auto"/>
        <w:jc w:val="both"/>
        <w:rPr>
          <w:rFonts w:ascii="Times New Roman" w:eastAsia="Times New Roman" w:hAnsi="Times New Roman" w:cs="Times New Roman"/>
          <w:sz w:val="20"/>
          <w:szCs w:val="20"/>
        </w:rPr>
      </w:pPr>
      <w:r w:rsidRPr="004B19F7">
        <w:rPr>
          <w:rFonts w:ascii="Times New Roman" w:eastAsia="Times New Roman" w:hAnsi="Times New Roman" w:cs="Times New Roman"/>
          <w:sz w:val="20"/>
          <w:szCs w:val="20"/>
        </w:rPr>
        <w:t>The</w:t>
      </w:r>
      <w:r w:rsidR="008F27D9" w:rsidRPr="004B19F7">
        <w:rPr>
          <w:rFonts w:ascii="Times New Roman" w:eastAsia="Times New Roman" w:hAnsi="Times New Roman" w:cs="Times New Roman"/>
          <w:sz w:val="20"/>
          <w:szCs w:val="20"/>
        </w:rPr>
        <w:t xml:space="preserve"> above considerations may help us to get closer to fulfill the MCL target of 164dB, but still is difficult to guarantee that such a MCL goal is going to be achieved.</w:t>
      </w:r>
      <w:r w:rsidR="007D59D2" w:rsidRPr="004B19F7">
        <w:rPr>
          <w:rFonts w:ascii="Times New Roman" w:eastAsia="Times New Roman" w:hAnsi="Times New Roman" w:cs="Times New Roman"/>
          <w:sz w:val="20"/>
          <w:szCs w:val="20"/>
        </w:rPr>
        <w:t xml:space="preserve"> </w:t>
      </w:r>
    </w:p>
    <w:p w14:paraId="3A417CCB" w14:textId="77777777" w:rsidR="001657E8" w:rsidRPr="004B19F7" w:rsidRDefault="001657E8" w:rsidP="001657E8">
      <w:pPr>
        <w:spacing w:after="0" w:line="240" w:lineRule="auto"/>
        <w:rPr>
          <w:rFonts w:eastAsia="Times New Roman"/>
        </w:rPr>
      </w:pPr>
    </w:p>
    <w:p w14:paraId="176744D1" w14:textId="243E2278" w:rsidR="004E6FD5" w:rsidRPr="00CA44EE" w:rsidRDefault="002A2D3D" w:rsidP="00CA44EE">
      <w:pPr>
        <w:jc w:val="both"/>
        <w:rPr>
          <w:rFonts w:ascii="Times New Roman" w:hAnsi="Times New Roman"/>
          <w:b/>
          <w:bCs/>
          <w:i/>
          <w:sz w:val="20"/>
          <w:szCs w:val="20"/>
        </w:rPr>
      </w:pPr>
      <w:bookmarkStart w:id="19" w:name="_Ref488751920"/>
      <w:bookmarkStart w:id="20" w:name="Observation_5"/>
      <w:r>
        <w:rPr>
          <w:rFonts w:ascii="Times New Roman" w:hAnsi="Times New Roman"/>
          <w:b/>
          <w:bCs/>
          <w:i/>
          <w:sz w:val="20"/>
          <w:szCs w:val="20"/>
        </w:rPr>
        <w:t xml:space="preserve">Observation 5: </w:t>
      </w:r>
      <w:r w:rsidR="001657E8" w:rsidRPr="002A2D3D">
        <w:rPr>
          <w:rFonts w:ascii="Times New Roman" w:hAnsi="Times New Roman"/>
          <w:b/>
          <w:bCs/>
          <w:i/>
          <w:sz w:val="20"/>
          <w:szCs w:val="20"/>
        </w:rPr>
        <w:t>A MCL target of 164dB seems to be too aggressive to be me</w:t>
      </w:r>
      <w:r w:rsidR="0019700E" w:rsidRPr="002A2D3D">
        <w:rPr>
          <w:rFonts w:ascii="Times New Roman" w:hAnsi="Times New Roman"/>
          <w:b/>
          <w:bCs/>
          <w:i/>
          <w:sz w:val="20"/>
          <w:szCs w:val="20"/>
        </w:rPr>
        <w:t>t</w:t>
      </w:r>
      <w:r w:rsidR="001657E8" w:rsidRPr="002A2D3D">
        <w:rPr>
          <w:rFonts w:ascii="Times New Roman" w:hAnsi="Times New Roman"/>
          <w:b/>
          <w:bCs/>
          <w:i/>
          <w:sz w:val="20"/>
          <w:szCs w:val="20"/>
        </w:rPr>
        <w:t xml:space="preserve"> in a TDD operation, </w:t>
      </w:r>
      <w:r w:rsidR="007D59D2" w:rsidRPr="002A2D3D">
        <w:rPr>
          <w:rFonts w:ascii="Times New Roman" w:eastAsia="Times New Roman" w:hAnsi="Times New Roman" w:cs="Times New Roman"/>
          <w:b/>
          <w:i/>
          <w:sz w:val="20"/>
          <w:szCs w:val="20"/>
        </w:rPr>
        <w:t>and</w:t>
      </w:r>
      <w:r w:rsidR="001657E8" w:rsidRPr="002A2D3D">
        <w:rPr>
          <w:rFonts w:ascii="Times New Roman" w:eastAsia="Times New Roman" w:hAnsi="Times New Roman" w:cs="Times New Roman"/>
          <w:b/>
          <w:i/>
          <w:sz w:val="20"/>
          <w:szCs w:val="20"/>
        </w:rPr>
        <w:t xml:space="preserve"> we will </w:t>
      </w:r>
      <w:r w:rsidR="007D59D2" w:rsidRPr="002A2D3D">
        <w:rPr>
          <w:rFonts w:ascii="Times New Roman" w:eastAsia="Times New Roman" w:hAnsi="Times New Roman" w:cs="Times New Roman"/>
          <w:b/>
          <w:i/>
          <w:sz w:val="20"/>
          <w:szCs w:val="20"/>
        </w:rPr>
        <w:t>need</w:t>
      </w:r>
      <w:r w:rsidR="001657E8" w:rsidRPr="002A2D3D">
        <w:rPr>
          <w:rFonts w:ascii="Times New Roman" w:eastAsia="Times New Roman" w:hAnsi="Times New Roman" w:cs="Times New Roman"/>
          <w:b/>
          <w:i/>
          <w:sz w:val="20"/>
          <w:szCs w:val="20"/>
        </w:rPr>
        <w:t xml:space="preserve"> to find a way to compensate for lack of </w:t>
      </w:r>
      <w:r w:rsidR="0019700E" w:rsidRPr="002A2D3D">
        <w:rPr>
          <w:rFonts w:ascii="Times New Roman" w:eastAsia="Times New Roman" w:hAnsi="Times New Roman" w:cs="Times New Roman"/>
          <w:b/>
          <w:i/>
          <w:sz w:val="20"/>
          <w:szCs w:val="20"/>
        </w:rPr>
        <w:t xml:space="preserve">available resources in DL and UL through </w:t>
      </w:r>
      <w:r w:rsidR="001657E8" w:rsidRPr="002A2D3D">
        <w:rPr>
          <w:rFonts w:ascii="Times New Roman" w:eastAsia="Times New Roman" w:hAnsi="Times New Roman" w:cs="Times New Roman"/>
          <w:b/>
          <w:i/>
          <w:sz w:val="20"/>
          <w:szCs w:val="20"/>
        </w:rPr>
        <w:t xml:space="preserve">an excessive relaxation of the latency, a much more aggressive </w:t>
      </w:r>
      <w:r w:rsidR="007D59D2" w:rsidRPr="002A2D3D">
        <w:rPr>
          <w:rFonts w:ascii="Times New Roman" w:eastAsia="Times New Roman" w:hAnsi="Times New Roman" w:cs="Times New Roman"/>
          <w:b/>
          <w:i/>
          <w:sz w:val="20"/>
          <w:szCs w:val="20"/>
        </w:rPr>
        <w:t xml:space="preserve">channel estimator, </w:t>
      </w:r>
      <w:r w:rsidR="001657E8" w:rsidRPr="002A2D3D">
        <w:rPr>
          <w:rFonts w:ascii="Times New Roman" w:eastAsia="Times New Roman" w:hAnsi="Times New Roman" w:cs="Times New Roman"/>
          <w:b/>
          <w:i/>
          <w:sz w:val="20"/>
          <w:szCs w:val="20"/>
        </w:rPr>
        <w:t>the usage of DwPTS/UpPTS in the special subframes</w:t>
      </w:r>
      <w:r w:rsidR="007D59D2" w:rsidRPr="002A2D3D">
        <w:rPr>
          <w:rFonts w:ascii="Times New Roman" w:eastAsia="Times New Roman" w:hAnsi="Times New Roman" w:cs="Times New Roman"/>
          <w:b/>
          <w:i/>
          <w:sz w:val="20"/>
          <w:szCs w:val="20"/>
        </w:rPr>
        <w:t>,</w:t>
      </w:r>
      <w:r w:rsidR="001657E8" w:rsidRPr="002A2D3D">
        <w:rPr>
          <w:rFonts w:ascii="Times New Roman" w:eastAsia="Times New Roman" w:hAnsi="Times New Roman" w:cs="Times New Roman"/>
          <w:b/>
          <w:i/>
          <w:sz w:val="20"/>
          <w:szCs w:val="20"/>
        </w:rPr>
        <w:t xml:space="preserve"> among other things</w:t>
      </w:r>
      <w:r w:rsidR="00993FC5" w:rsidRPr="002A2D3D">
        <w:rPr>
          <w:rFonts w:ascii="Times New Roman" w:hAnsi="Times New Roman"/>
          <w:b/>
          <w:bCs/>
          <w:i/>
          <w:sz w:val="20"/>
          <w:szCs w:val="20"/>
        </w:rPr>
        <w:t>.</w:t>
      </w:r>
      <w:bookmarkEnd w:id="19"/>
      <w:bookmarkEnd w:id="20"/>
    </w:p>
    <w:p w14:paraId="45A8C5CD" w14:textId="65A0F8C4" w:rsidR="00BA0384" w:rsidRDefault="00BA0384" w:rsidP="00BA0384">
      <w:pPr>
        <w:pStyle w:val="Heading2"/>
      </w:pPr>
      <w:r>
        <w:t>HARQ aspects</w:t>
      </w:r>
    </w:p>
    <w:p w14:paraId="2CA6EE25" w14:textId="5CFD4588" w:rsidR="00942B1B" w:rsidRPr="004B19F7" w:rsidRDefault="00D42615" w:rsidP="007B0268">
      <w:pPr>
        <w:jc w:val="both"/>
        <w:rPr>
          <w:rFonts w:ascii="Times New Roman" w:hAnsi="Times New Roman" w:cs="Times New Roman"/>
          <w:sz w:val="20"/>
        </w:rPr>
      </w:pPr>
      <w:r w:rsidRPr="004B19F7">
        <w:rPr>
          <w:rFonts w:ascii="Times New Roman" w:hAnsi="Times New Roman" w:cs="Times New Roman"/>
          <w:sz w:val="20"/>
        </w:rPr>
        <w:t>In the FDD system asynchronized HARQ is supported. Two HARQ processes were introduced in Rel-14 as an optional UE capability. Therefore, considering it may potentially be the case that some of the chipset that are dimensioned for one HARQ process can be software up</w:t>
      </w:r>
      <w:r w:rsidR="00942B1B" w:rsidRPr="004B19F7">
        <w:rPr>
          <w:rFonts w:ascii="Times New Roman" w:hAnsi="Times New Roman" w:cs="Times New Roman"/>
          <w:sz w:val="20"/>
        </w:rPr>
        <w:t>dated to support TDD, it is beneficial to have similar arrangement for NB-IoT FDD, i.e., two HARQ processes should be an optional UE capability.</w:t>
      </w:r>
    </w:p>
    <w:p w14:paraId="7B615143" w14:textId="72B64956" w:rsidR="000703FF" w:rsidRPr="004B19F7" w:rsidRDefault="000703FF" w:rsidP="007B0268">
      <w:pPr>
        <w:jc w:val="both"/>
        <w:rPr>
          <w:rFonts w:ascii="Times New Roman" w:hAnsi="Times New Roman" w:cs="Times New Roman"/>
          <w:sz w:val="20"/>
        </w:rPr>
      </w:pPr>
      <w:r w:rsidRPr="004B19F7">
        <w:rPr>
          <w:rFonts w:ascii="Times New Roman" w:hAnsi="Times New Roman" w:cs="Times New Roman"/>
          <w:sz w:val="20"/>
        </w:rPr>
        <w:t xml:space="preserve">Furthermore, for some TDD configurations, the use of two HARQ processes does not increase the throughput significantly either. For example, </w:t>
      </w:r>
      <w:r w:rsidR="00993FC5" w:rsidRPr="004B19F7">
        <w:rPr>
          <w:rFonts w:ascii="Times New Roman" w:hAnsi="Times New Roman" w:cs="Times New Roman"/>
          <w:sz w:val="20"/>
        </w:rPr>
        <w:t xml:space="preserve">as we see from </w:t>
      </w:r>
      <w:r w:rsidR="00993FC5" w:rsidRPr="00C37754">
        <w:rPr>
          <w:rFonts w:ascii="Times New Roman" w:hAnsi="Times New Roman" w:cs="Times New Roman"/>
          <w:sz w:val="20"/>
        </w:rPr>
        <w:fldChar w:fldCharType="begin"/>
      </w:r>
      <w:r w:rsidR="00993FC5" w:rsidRPr="004B19F7">
        <w:rPr>
          <w:rFonts w:ascii="Times New Roman" w:hAnsi="Times New Roman" w:cs="Times New Roman"/>
          <w:sz w:val="20"/>
        </w:rPr>
        <w:instrText xml:space="preserve"> REF _Ref488751298 \h </w:instrText>
      </w:r>
      <w:r w:rsidR="00C37754" w:rsidRPr="004B19F7">
        <w:rPr>
          <w:rFonts w:ascii="Times New Roman" w:hAnsi="Times New Roman" w:cs="Times New Roman"/>
          <w:sz w:val="20"/>
        </w:rPr>
        <w:instrText xml:space="preserve"> \* MERGEFORMAT </w:instrText>
      </w:r>
      <w:r w:rsidR="00993FC5" w:rsidRPr="00C37754">
        <w:rPr>
          <w:rFonts w:ascii="Times New Roman" w:hAnsi="Times New Roman" w:cs="Times New Roman"/>
          <w:sz w:val="20"/>
        </w:rPr>
      </w:r>
      <w:r w:rsidR="00993FC5" w:rsidRPr="00C37754">
        <w:rPr>
          <w:rFonts w:ascii="Times New Roman" w:hAnsi="Times New Roman" w:cs="Times New Roman"/>
          <w:sz w:val="20"/>
        </w:rPr>
        <w:fldChar w:fldCharType="separate"/>
      </w:r>
      <w:r w:rsidR="00D46219" w:rsidRPr="00D46219">
        <w:rPr>
          <w:rFonts w:ascii="Times New Roman" w:hAnsi="Times New Roman" w:cs="Times New Roman"/>
          <w:sz w:val="20"/>
        </w:rPr>
        <w:t xml:space="preserve">Table </w:t>
      </w:r>
      <w:r w:rsidR="00D46219" w:rsidRPr="00D46219">
        <w:rPr>
          <w:rFonts w:ascii="Times New Roman" w:hAnsi="Times New Roman" w:cs="Times New Roman"/>
          <w:sz w:val="20"/>
        </w:rPr>
        <w:t>5</w:t>
      </w:r>
      <w:r w:rsidR="00993FC5" w:rsidRPr="00C37754">
        <w:rPr>
          <w:rFonts w:ascii="Times New Roman" w:hAnsi="Times New Roman" w:cs="Times New Roman"/>
          <w:sz w:val="20"/>
        </w:rPr>
        <w:fldChar w:fldCharType="end"/>
      </w:r>
      <w:r w:rsidR="00993FC5" w:rsidRPr="004B19F7">
        <w:rPr>
          <w:rFonts w:ascii="Times New Roman" w:hAnsi="Times New Roman" w:cs="Times New Roman"/>
          <w:sz w:val="20"/>
        </w:rPr>
        <w:t xml:space="preserve">, </w:t>
      </w:r>
      <w:r w:rsidRPr="004B19F7">
        <w:rPr>
          <w:rFonts w:ascii="Times New Roman" w:hAnsi="Times New Roman" w:cs="Times New Roman"/>
          <w:sz w:val="20"/>
        </w:rPr>
        <w:t xml:space="preserve">for TDD configuration#0, in the DL if one HARQ process is used, considering the best NPDCCH configurations and scheduling delays, the highest throughput is 33 </w:t>
      </w:r>
      <w:r w:rsidR="00604CDD" w:rsidRPr="004B19F7">
        <w:rPr>
          <w:rFonts w:ascii="Times New Roman" w:hAnsi="Times New Roman" w:cs="Times New Roman"/>
          <w:sz w:val="20"/>
        </w:rPr>
        <w:t>kbps</w:t>
      </w:r>
      <w:r w:rsidRPr="004B19F7">
        <w:rPr>
          <w:rFonts w:ascii="Times New Roman" w:hAnsi="Times New Roman" w:cs="Times New Roman"/>
          <w:sz w:val="20"/>
        </w:rPr>
        <w:t xml:space="preserve">, and if two HARQ process are configured, at most the highest throughput is 42 kbps. </w:t>
      </w:r>
      <w:r w:rsidR="00604CDD" w:rsidRPr="004B19F7">
        <w:rPr>
          <w:rFonts w:ascii="Times New Roman" w:hAnsi="Times New Roman" w:cs="Times New Roman"/>
          <w:sz w:val="20"/>
        </w:rPr>
        <w:t xml:space="preserve">If considering the scheduling for SI, and paging, the difference in achievable highest throughput between one and two HARQ process may be even smaller for some of the TDD configurations. </w:t>
      </w:r>
      <w:r w:rsidR="00C54E93" w:rsidRPr="004B19F7">
        <w:rPr>
          <w:rFonts w:ascii="Times New Roman" w:hAnsi="Times New Roman" w:cs="Times New Roman"/>
          <w:sz w:val="20"/>
        </w:rPr>
        <w:t xml:space="preserve">By using 2 HARQ process, the most significant increase of DL throughput for NPDSCH is observed in the TDD configurations that have more DL subframes than UL subframes. However, in these configurations, the UL throughput increase by using 2 HARQ processes is </w:t>
      </w:r>
      <w:r w:rsidR="00C76101" w:rsidRPr="004B19F7">
        <w:rPr>
          <w:rFonts w:ascii="Times New Roman" w:hAnsi="Times New Roman" w:cs="Times New Roman"/>
          <w:sz w:val="20"/>
        </w:rPr>
        <w:t xml:space="preserve">foreseen to be </w:t>
      </w:r>
      <w:r w:rsidR="00C54E93" w:rsidRPr="004B19F7">
        <w:rPr>
          <w:rFonts w:ascii="Times New Roman" w:hAnsi="Times New Roman" w:cs="Times New Roman"/>
          <w:sz w:val="20"/>
        </w:rPr>
        <w:t xml:space="preserve">limited. </w:t>
      </w:r>
    </w:p>
    <w:p w14:paraId="19F10167" w14:textId="5B153A14" w:rsidR="00993FC5" w:rsidRPr="002A2D3D" w:rsidRDefault="002A2D3D" w:rsidP="002A2D3D">
      <w:pPr>
        <w:rPr>
          <w:rFonts w:ascii="Times New Roman" w:hAnsi="Times New Roman" w:cs="Times New Roman"/>
          <w:b/>
          <w:i/>
          <w:sz w:val="20"/>
        </w:rPr>
      </w:pPr>
      <w:bookmarkStart w:id="21" w:name="_Ref488751878"/>
      <w:bookmarkStart w:id="22" w:name="Proposal_9"/>
      <w:r>
        <w:rPr>
          <w:rFonts w:ascii="Times New Roman" w:hAnsi="Times New Roman" w:cs="Times New Roman"/>
          <w:b/>
          <w:i/>
          <w:sz w:val="20"/>
        </w:rPr>
        <w:t xml:space="preserve">Proposal </w:t>
      </w:r>
      <w:r w:rsidR="00CA44EE">
        <w:rPr>
          <w:rFonts w:ascii="Times New Roman" w:hAnsi="Times New Roman" w:cs="Times New Roman"/>
          <w:b/>
          <w:i/>
          <w:sz w:val="20"/>
        </w:rPr>
        <w:t>9</w:t>
      </w:r>
      <w:r>
        <w:rPr>
          <w:rFonts w:ascii="Times New Roman" w:hAnsi="Times New Roman" w:cs="Times New Roman"/>
          <w:b/>
          <w:i/>
          <w:sz w:val="20"/>
        </w:rPr>
        <w:t xml:space="preserve">: </w:t>
      </w:r>
      <w:r w:rsidR="00993FC5" w:rsidRPr="002A2D3D">
        <w:rPr>
          <w:rFonts w:ascii="Times New Roman" w:hAnsi="Times New Roman" w:cs="Times New Roman"/>
          <w:b/>
          <w:i/>
          <w:sz w:val="20"/>
        </w:rPr>
        <w:t>Supporting two HARQ processes should be an optional UE capability in NB-IoT TDD system.</w:t>
      </w:r>
      <w:bookmarkEnd w:id="21"/>
      <w:r w:rsidR="00993FC5" w:rsidRPr="002A2D3D">
        <w:rPr>
          <w:rFonts w:ascii="Times New Roman" w:hAnsi="Times New Roman" w:cs="Times New Roman"/>
          <w:b/>
          <w:i/>
          <w:sz w:val="20"/>
        </w:rPr>
        <w:t xml:space="preserve"> </w:t>
      </w:r>
    </w:p>
    <w:p w14:paraId="2E402A49" w14:textId="4CE43A9A" w:rsidR="00604CDD" w:rsidRPr="004B19F7" w:rsidRDefault="00604CDD" w:rsidP="00C37754">
      <w:pPr>
        <w:pStyle w:val="Caption"/>
        <w:keepNext/>
        <w:jc w:val="center"/>
        <w:rPr>
          <w:b/>
        </w:rPr>
      </w:pPr>
      <w:bookmarkStart w:id="23" w:name="_Ref488751298"/>
      <w:bookmarkEnd w:id="22"/>
      <w:r w:rsidRPr="004B19F7">
        <w:rPr>
          <w:b/>
        </w:rPr>
        <w:t xml:space="preserve">Table </w:t>
      </w:r>
      <w:r w:rsidRPr="00525A9F">
        <w:rPr>
          <w:b/>
        </w:rPr>
        <w:fldChar w:fldCharType="begin"/>
      </w:r>
      <w:r w:rsidRPr="004B19F7">
        <w:rPr>
          <w:b/>
        </w:rPr>
        <w:instrText xml:space="preserve"> SEQ Table \* ARABIC </w:instrText>
      </w:r>
      <w:r w:rsidRPr="00525A9F">
        <w:rPr>
          <w:b/>
        </w:rPr>
        <w:fldChar w:fldCharType="separate"/>
      </w:r>
      <w:r w:rsidR="00D46219">
        <w:rPr>
          <w:b/>
          <w:noProof/>
        </w:rPr>
        <w:t>5</w:t>
      </w:r>
      <w:r w:rsidRPr="00525A9F">
        <w:rPr>
          <w:b/>
        </w:rPr>
        <w:fldChar w:fldCharType="end"/>
      </w:r>
      <w:bookmarkEnd w:id="23"/>
      <w:r w:rsidRPr="004B19F7">
        <w:rPr>
          <w:b/>
        </w:rPr>
        <w:t xml:space="preserve"> Comparison of Maximum achievable NPDSCH throughput of one and two HARQ processes</w:t>
      </w:r>
    </w:p>
    <w:tbl>
      <w:tblPr>
        <w:tblStyle w:val="TableGrid"/>
        <w:tblW w:w="0" w:type="auto"/>
        <w:jc w:val="center"/>
        <w:tblLook w:val="04A0" w:firstRow="1" w:lastRow="0" w:firstColumn="1" w:lastColumn="0" w:noHBand="0" w:noVBand="1"/>
      </w:tblPr>
      <w:tblGrid>
        <w:gridCol w:w="1315"/>
        <w:gridCol w:w="1442"/>
        <w:gridCol w:w="1591"/>
      </w:tblGrid>
      <w:tr w:rsidR="00604CDD" w14:paraId="799B394C" w14:textId="77777777" w:rsidTr="00F405EF">
        <w:trPr>
          <w:jc w:val="center"/>
        </w:trPr>
        <w:tc>
          <w:tcPr>
            <w:tcW w:w="0" w:type="auto"/>
            <w:vAlign w:val="center"/>
          </w:tcPr>
          <w:p w14:paraId="43F5A461" w14:textId="26DFA497" w:rsidR="00604CDD" w:rsidRPr="00F405EF" w:rsidRDefault="00604CDD" w:rsidP="00604CDD">
            <w:pPr>
              <w:pStyle w:val="TAH"/>
              <w:rPr>
                <w:sz w:val="16"/>
                <w:szCs w:val="16"/>
              </w:rPr>
            </w:pPr>
            <w:r w:rsidRPr="00F405EF">
              <w:rPr>
                <w:sz w:val="16"/>
                <w:szCs w:val="16"/>
              </w:rPr>
              <w:t>Uplink-downlink</w:t>
            </w:r>
          </w:p>
          <w:p w14:paraId="119C28A0" w14:textId="41AFEAF0" w:rsidR="00604CDD" w:rsidRPr="00F405EF" w:rsidRDefault="00604CDD" w:rsidP="00604CDD">
            <w:pPr>
              <w:jc w:val="center"/>
              <w:rPr>
                <w:sz w:val="16"/>
                <w:szCs w:val="16"/>
              </w:rPr>
            </w:pPr>
            <w:r w:rsidRPr="00F405EF">
              <w:rPr>
                <w:sz w:val="16"/>
                <w:szCs w:val="16"/>
              </w:rPr>
              <w:t>configuration</w:t>
            </w:r>
          </w:p>
        </w:tc>
        <w:tc>
          <w:tcPr>
            <w:tcW w:w="0" w:type="auto"/>
          </w:tcPr>
          <w:p w14:paraId="27EE8463" w14:textId="5E713A30" w:rsidR="00604CDD" w:rsidRPr="00F405EF" w:rsidRDefault="00604CDD" w:rsidP="00604CDD">
            <w:pPr>
              <w:jc w:val="center"/>
              <w:rPr>
                <w:sz w:val="16"/>
                <w:szCs w:val="16"/>
              </w:rPr>
            </w:pPr>
            <w:r w:rsidRPr="00F405EF">
              <w:rPr>
                <w:sz w:val="16"/>
                <w:szCs w:val="16"/>
              </w:rPr>
              <w:t>One HARQ process</w:t>
            </w:r>
          </w:p>
        </w:tc>
        <w:tc>
          <w:tcPr>
            <w:tcW w:w="0" w:type="auto"/>
          </w:tcPr>
          <w:p w14:paraId="045986F6" w14:textId="7695720A" w:rsidR="00604CDD" w:rsidRPr="00F405EF" w:rsidRDefault="00604CDD" w:rsidP="00604CDD">
            <w:pPr>
              <w:jc w:val="center"/>
              <w:rPr>
                <w:sz w:val="16"/>
                <w:szCs w:val="16"/>
              </w:rPr>
            </w:pPr>
            <w:r w:rsidRPr="00F405EF">
              <w:rPr>
                <w:sz w:val="16"/>
                <w:szCs w:val="16"/>
              </w:rPr>
              <w:t>Two HARQ processes</w:t>
            </w:r>
          </w:p>
        </w:tc>
      </w:tr>
      <w:tr w:rsidR="00604CDD" w14:paraId="36E26D69" w14:textId="77777777" w:rsidTr="00F405EF">
        <w:trPr>
          <w:jc w:val="center"/>
        </w:trPr>
        <w:tc>
          <w:tcPr>
            <w:tcW w:w="0" w:type="auto"/>
            <w:vAlign w:val="center"/>
          </w:tcPr>
          <w:p w14:paraId="028C8D1B" w14:textId="45C44D4A" w:rsidR="00604CDD" w:rsidRPr="00F405EF" w:rsidRDefault="00604CDD" w:rsidP="00604CDD">
            <w:pPr>
              <w:jc w:val="center"/>
              <w:rPr>
                <w:sz w:val="16"/>
                <w:szCs w:val="16"/>
              </w:rPr>
            </w:pPr>
            <w:r w:rsidRPr="00F405EF">
              <w:rPr>
                <w:sz w:val="16"/>
                <w:szCs w:val="16"/>
              </w:rPr>
              <w:t>1</w:t>
            </w:r>
          </w:p>
        </w:tc>
        <w:tc>
          <w:tcPr>
            <w:tcW w:w="0" w:type="auto"/>
          </w:tcPr>
          <w:p w14:paraId="4C69591F" w14:textId="6A15B0A9" w:rsidR="00604CDD" w:rsidRPr="00F405EF" w:rsidRDefault="00604CDD" w:rsidP="00604CDD">
            <w:pPr>
              <w:jc w:val="center"/>
              <w:rPr>
                <w:sz w:val="16"/>
                <w:szCs w:val="16"/>
              </w:rPr>
            </w:pPr>
            <w:r w:rsidRPr="00F405EF">
              <w:rPr>
                <w:sz w:val="16"/>
                <w:szCs w:val="16"/>
              </w:rPr>
              <w:t>50.72 kbps</w:t>
            </w:r>
          </w:p>
        </w:tc>
        <w:tc>
          <w:tcPr>
            <w:tcW w:w="0" w:type="auto"/>
          </w:tcPr>
          <w:p w14:paraId="008CDC0C" w14:textId="1DD9E66F" w:rsidR="00604CDD" w:rsidRPr="00F405EF" w:rsidRDefault="00604CDD" w:rsidP="00604CDD">
            <w:pPr>
              <w:jc w:val="center"/>
              <w:rPr>
                <w:sz w:val="16"/>
                <w:szCs w:val="16"/>
              </w:rPr>
            </w:pPr>
            <w:r w:rsidRPr="00F405EF">
              <w:rPr>
                <w:sz w:val="16"/>
                <w:szCs w:val="16"/>
              </w:rPr>
              <w:t>67.63 kbps</w:t>
            </w:r>
          </w:p>
        </w:tc>
      </w:tr>
      <w:tr w:rsidR="00604CDD" w14:paraId="7198666D" w14:textId="77777777" w:rsidTr="00F405EF">
        <w:trPr>
          <w:jc w:val="center"/>
        </w:trPr>
        <w:tc>
          <w:tcPr>
            <w:tcW w:w="0" w:type="auto"/>
            <w:vAlign w:val="center"/>
          </w:tcPr>
          <w:p w14:paraId="644AFF67" w14:textId="16D5EE25" w:rsidR="00604CDD" w:rsidRPr="00F405EF" w:rsidRDefault="00604CDD" w:rsidP="00604CDD">
            <w:pPr>
              <w:jc w:val="center"/>
              <w:rPr>
                <w:sz w:val="16"/>
                <w:szCs w:val="16"/>
              </w:rPr>
            </w:pPr>
            <w:r w:rsidRPr="00F405EF">
              <w:rPr>
                <w:sz w:val="16"/>
                <w:szCs w:val="16"/>
              </w:rPr>
              <w:t>2</w:t>
            </w:r>
          </w:p>
        </w:tc>
        <w:tc>
          <w:tcPr>
            <w:tcW w:w="0" w:type="auto"/>
          </w:tcPr>
          <w:p w14:paraId="45A8F111" w14:textId="500A10EF" w:rsidR="00604CDD" w:rsidRPr="00F405EF" w:rsidRDefault="002B6888" w:rsidP="00604CDD">
            <w:pPr>
              <w:jc w:val="center"/>
              <w:rPr>
                <w:sz w:val="16"/>
                <w:szCs w:val="16"/>
              </w:rPr>
            </w:pPr>
            <w:r w:rsidRPr="00F405EF">
              <w:rPr>
                <w:sz w:val="16"/>
                <w:szCs w:val="16"/>
              </w:rPr>
              <w:t>61.85 kbps</w:t>
            </w:r>
          </w:p>
        </w:tc>
        <w:tc>
          <w:tcPr>
            <w:tcW w:w="0" w:type="auto"/>
          </w:tcPr>
          <w:p w14:paraId="7D34E73F" w14:textId="5FBD9516" w:rsidR="00604CDD" w:rsidRPr="00F405EF" w:rsidRDefault="002B6888" w:rsidP="00604CDD">
            <w:pPr>
              <w:jc w:val="center"/>
              <w:rPr>
                <w:sz w:val="16"/>
                <w:szCs w:val="16"/>
              </w:rPr>
            </w:pPr>
            <w:r w:rsidRPr="00F405EF">
              <w:rPr>
                <w:sz w:val="16"/>
                <w:szCs w:val="16"/>
              </w:rPr>
              <w:t>78.03 kbps</w:t>
            </w:r>
          </w:p>
        </w:tc>
      </w:tr>
      <w:tr w:rsidR="00604CDD" w14:paraId="656E715C" w14:textId="77777777" w:rsidTr="00F405EF">
        <w:trPr>
          <w:jc w:val="center"/>
        </w:trPr>
        <w:tc>
          <w:tcPr>
            <w:tcW w:w="0" w:type="auto"/>
            <w:vAlign w:val="center"/>
          </w:tcPr>
          <w:p w14:paraId="4762FE0D" w14:textId="281DC840" w:rsidR="00604CDD" w:rsidRPr="00F405EF" w:rsidRDefault="00604CDD" w:rsidP="00604CDD">
            <w:pPr>
              <w:jc w:val="center"/>
              <w:rPr>
                <w:sz w:val="16"/>
                <w:szCs w:val="16"/>
              </w:rPr>
            </w:pPr>
            <w:r w:rsidRPr="00F405EF">
              <w:rPr>
                <w:sz w:val="16"/>
                <w:szCs w:val="16"/>
              </w:rPr>
              <w:t>3</w:t>
            </w:r>
          </w:p>
        </w:tc>
        <w:tc>
          <w:tcPr>
            <w:tcW w:w="0" w:type="auto"/>
          </w:tcPr>
          <w:p w14:paraId="1C92CACB" w14:textId="356231B6" w:rsidR="00604CDD" w:rsidRPr="00F405EF" w:rsidRDefault="002B6888" w:rsidP="00604CDD">
            <w:pPr>
              <w:jc w:val="center"/>
              <w:rPr>
                <w:sz w:val="16"/>
                <w:szCs w:val="16"/>
              </w:rPr>
            </w:pPr>
            <w:r w:rsidRPr="00F405EF">
              <w:rPr>
                <w:sz w:val="16"/>
                <w:szCs w:val="16"/>
              </w:rPr>
              <w:t>61.85 kbps</w:t>
            </w:r>
          </w:p>
        </w:tc>
        <w:tc>
          <w:tcPr>
            <w:tcW w:w="0" w:type="auto"/>
          </w:tcPr>
          <w:p w14:paraId="467A85DE" w14:textId="404453E9" w:rsidR="00604CDD" w:rsidRPr="00F405EF" w:rsidRDefault="00C54E93" w:rsidP="00604CDD">
            <w:pPr>
              <w:jc w:val="center"/>
              <w:rPr>
                <w:sz w:val="16"/>
                <w:szCs w:val="16"/>
              </w:rPr>
            </w:pPr>
            <w:r w:rsidRPr="00F405EF">
              <w:rPr>
                <w:sz w:val="16"/>
                <w:szCs w:val="16"/>
              </w:rPr>
              <w:t>88.98 kbps</w:t>
            </w:r>
          </w:p>
        </w:tc>
      </w:tr>
      <w:tr w:rsidR="00604CDD" w14:paraId="6A2DA6F9" w14:textId="77777777" w:rsidTr="00F405EF">
        <w:trPr>
          <w:jc w:val="center"/>
        </w:trPr>
        <w:tc>
          <w:tcPr>
            <w:tcW w:w="0" w:type="auto"/>
            <w:vAlign w:val="center"/>
          </w:tcPr>
          <w:p w14:paraId="27E7A086" w14:textId="19980BAE" w:rsidR="00604CDD" w:rsidRPr="00F405EF" w:rsidRDefault="00604CDD" w:rsidP="00604CDD">
            <w:pPr>
              <w:jc w:val="center"/>
              <w:rPr>
                <w:sz w:val="16"/>
                <w:szCs w:val="16"/>
              </w:rPr>
            </w:pPr>
            <w:r w:rsidRPr="00F405EF">
              <w:rPr>
                <w:sz w:val="16"/>
                <w:szCs w:val="16"/>
              </w:rPr>
              <w:lastRenderedPageBreak/>
              <w:t>4</w:t>
            </w:r>
          </w:p>
        </w:tc>
        <w:tc>
          <w:tcPr>
            <w:tcW w:w="0" w:type="auto"/>
          </w:tcPr>
          <w:p w14:paraId="65FCB648" w14:textId="12CF8F0D" w:rsidR="00604CDD" w:rsidRPr="00F405EF" w:rsidRDefault="00C54E93" w:rsidP="00604CDD">
            <w:pPr>
              <w:jc w:val="center"/>
              <w:rPr>
                <w:sz w:val="16"/>
                <w:szCs w:val="16"/>
              </w:rPr>
            </w:pPr>
            <w:r w:rsidRPr="00F405EF">
              <w:rPr>
                <w:sz w:val="16"/>
                <w:szCs w:val="16"/>
              </w:rPr>
              <w:t>61.85 kbps</w:t>
            </w:r>
          </w:p>
        </w:tc>
        <w:tc>
          <w:tcPr>
            <w:tcW w:w="0" w:type="auto"/>
          </w:tcPr>
          <w:p w14:paraId="2AE9E61D" w14:textId="1B42C5BC" w:rsidR="00604CDD" w:rsidRPr="00F405EF" w:rsidRDefault="00C54E93" w:rsidP="00604CDD">
            <w:pPr>
              <w:jc w:val="center"/>
              <w:rPr>
                <w:sz w:val="16"/>
                <w:szCs w:val="16"/>
              </w:rPr>
            </w:pPr>
            <w:r w:rsidRPr="00F405EF">
              <w:rPr>
                <w:sz w:val="16"/>
                <w:szCs w:val="16"/>
              </w:rPr>
              <w:t>88.98 kbps</w:t>
            </w:r>
          </w:p>
        </w:tc>
      </w:tr>
      <w:tr w:rsidR="00604CDD" w14:paraId="2D1D8ABA" w14:textId="77777777" w:rsidTr="00F405EF">
        <w:trPr>
          <w:jc w:val="center"/>
        </w:trPr>
        <w:tc>
          <w:tcPr>
            <w:tcW w:w="0" w:type="auto"/>
            <w:vAlign w:val="center"/>
          </w:tcPr>
          <w:p w14:paraId="6F51E7E2" w14:textId="7904D02C" w:rsidR="00604CDD" w:rsidRPr="00F405EF" w:rsidRDefault="00604CDD" w:rsidP="00604CDD">
            <w:pPr>
              <w:jc w:val="center"/>
              <w:rPr>
                <w:sz w:val="16"/>
                <w:szCs w:val="16"/>
              </w:rPr>
            </w:pPr>
            <w:r w:rsidRPr="00F405EF">
              <w:rPr>
                <w:sz w:val="16"/>
                <w:szCs w:val="16"/>
              </w:rPr>
              <w:t>5</w:t>
            </w:r>
          </w:p>
        </w:tc>
        <w:tc>
          <w:tcPr>
            <w:tcW w:w="0" w:type="auto"/>
          </w:tcPr>
          <w:p w14:paraId="5B293F50" w14:textId="75E4FB3E" w:rsidR="00604CDD" w:rsidRPr="00F405EF" w:rsidRDefault="00C54E93" w:rsidP="00604CDD">
            <w:pPr>
              <w:jc w:val="center"/>
              <w:rPr>
                <w:sz w:val="16"/>
                <w:szCs w:val="16"/>
              </w:rPr>
            </w:pPr>
            <w:r w:rsidRPr="00F405EF">
              <w:rPr>
                <w:sz w:val="16"/>
                <w:szCs w:val="16"/>
              </w:rPr>
              <w:t>51.75 kbps</w:t>
            </w:r>
          </w:p>
        </w:tc>
        <w:tc>
          <w:tcPr>
            <w:tcW w:w="0" w:type="auto"/>
          </w:tcPr>
          <w:p w14:paraId="586EC8E3" w14:textId="5AB6274A" w:rsidR="00604CDD" w:rsidRPr="00F405EF" w:rsidRDefault="00731EC3" w:rsidP="00604CDD">
            <w:pPr>
              <w:jc w:val="center"/>
              <w:rPr>
                <w:sz w:val="16"/>
                <w:szCs w:val="16"/>
              </w:rPr>
            </w:pPr>
            <w:r w:rsidRPr="00F405EF">
              <w:rPr>
                <w:sz w:val="16"/>
                <w:szCs w:val="16"/>
              </w:rPr>
              <w:t>88.98 kbps</w:t>
            </w:r>
          </w:p>
        </w:tc>
      </w:tr>
      <w:tr w:rsidR="00604CDD" w14:paraId="46575F63" w14:textId="77777777" w:rsidTr="00F405EF">
        <w:trPr>
          <w:jc w:val="center"/>
        </w:trPr>
        <w:tc>
          <w:tcPr>
            <w:tcW w:w="0" w:type="auto"/>
            <w:vAlign w:val="center"/>
          </w:tcPr>
          <w:p w14:paraId="14197054" w14:textId="20F32B63" w:rsidR="00604CDD" w:rsidRPr="00F405EF" w:rsidRDefault="00604CDD" w:rsidP="00604CDD">
            <w:pPr>
              <w:jc w:val="center"/>
              <w:rPr>
                <w:sz w:val="16"/>
                <w:szCs w:val="16"/>
              </w:rPr>
            </w:pPr>
            <w:r w:rsidRPr="00F405EF">
              <w:rPr>
                <w:sz w:val="16"/>
                <w:szCs w:val="16"/>
              </w:rPr>
              <w:t>6</w:t>
            </w:r>
          </w:p>
        </w:tc>
        <w:tc>
          <w:tcPr>
            <w:tcW w:w="0" w:type="auto"/>
          </w:tcPr>
          <w:p w14:paraId="53FB35C8" w14:textId="00F533CD" w:rsidR="00604CDD" w:rsidRPr="00F405EF" w:rsidRDefault="00731EC3" w:rsidP="00604CDD">
            <w:pPr>
              <w:jc w:val="center"/>
              <w:rPr>
                <w:sz w:val="16"/>
                <w:szCs w:val="16"/>
              </w:rPr>
            </w:pPr>
            <w:r w:rsidRPr="00F405EF">
              <w:rPr>
                <w:sz w:val="16"/>
                <w:szCs w:val="16"/>
              </w:rPr>
              <w:t>42.26 kbps</w:t>
            </w:r>
          </w:p>
        </w:tc>
        <w:tc>
          <w:tcPr>
            <w:tcW w:w="0" w:type="auto"/>
          </w:tcPr>
          <w:p w14:paraId="674B1451" w14:textId="23AF9F77" w:rsidR="00604CDD" w:rsidRPr="00F405EF" w:rsidRDefault="00731EC3" w:rsidP="00604CDD">
            <w:pPr>
              <w:jc w:val="center"/>
              <w:rPr>
                <w:sz w:val="16"/>
                <w:szCs w:val="16"/>
              </w:rPr>
            </w:pPr>
            <w:r w:rsidRPr="00F405EF">
              <w:rPr>
                <w:sz w:val="16"/>
                <w:szCs w:val="16"/>
              </w:rPr>
              <w:t>56.99 kbps</w:t>
            </w:r>
          </w:p>
        </w:tc>
      </w:tr>
    </w:tbl>
    <w:p w14:paraId="38209803" w14:textId="4D031A1C" w:rsidR="00942B1B" w:rsidRDefault="00942B1B" w:rsidP="0081790A"/>
    <w:p w14:paraId="31299DB6" w14:textId="32CAC76B" w:rsidR="001F553E" w:rsidRPr="004B19F7" w:rsidRDefault="001F553E" w:rsidP="007B0268">
      <w:pPr>
        <w:jc w:val="both"/>
        <w:rPr>
          <w:rFonts w:ascii="Times New Roman" w:hAnsi="Times New Roman" w:cs="Times New Roman"/>
          <w:sz w:val="20"/>
        </w:rPr>
      </w:pPr>
      <w:r w:rsidRPr="004B19F7">
        <w:rPr>
          <w:rFonts w:ascii="Times New Roman" w:hAnsi="Times New Roman" w:cs="Times New Roman"/>
          <w:sz w:val="20"/>
        </w:rPr>
        <w:t xml:space="preserve">Notice that in the current FDD system, per HARQ process, after receiving the NPDSCH, the UE needs 12 ms to decode the NPDSCH and send ACK/NACK. Since in the FDD system, the UE operates in a half-duplex fashion, the scheduler can </w:t>
      </w:r>
      <w:r w:rsidR="00E06F59" w:rsidRPr="004B19F7">
        <w:rPr>
          <w:rFonts w:ascii="Times New Roman" w:hAnsi="Times New Roman" w:cs="Times New Roman"/>
          <w:sz w:val="20"/>
        </w:rPr>
        <w:t>optimize</w:t>
      </w:r>
      <w:r w:rsidRPr="004B19F7">
        <w:rPr>
          <w:rFonts w:ascii="Times New Roman" w:hAnsi="Times New Roman" w:cs="Times New Roman"/>
          <w:sz w:val="20"/>
        </w:rPr>
        <w:t xml:space="preserve"> the scheduling </w:t>
      </w:r>
      <w:r w:rsidR="00C76101" w:rsidRPr="004B19F7">
        <w:rPr>
          <w:rFonts w:ascii="Times New Roman" w:hAnsi="Times New Roman" w:cs="Times New Roman"/>
          <w:sz w:val="20"/>
        </w:rPr>
        <w:t xml:space="preserve">in such a way </w:t>
      </w:r>
      <w:r w:rsidRPr="004B19F7">
        <w:rPr>
          <w:rFonts w:ascii="Times New Roman" w:hAnsi="Times New Roman" w:cs="Times New Roman"/>
          <w:sz w:val="20"/>
        </w:rPr>
        <w:t xml:space="preserve">that </w:t>
      </w:r>
      <w:r w:rsidR="0092065F" w:rsidRPr="004B19F7">
        <w:rPr>
          <w:rFonts w:ascii="Times New Roman" w:hAnsi="Times New Roman" w:cs="Times New Roman"/>
          <w:sz w:val="20"/>
        </w:rPr>
        <w:t xml:space="preserve">once </w:t>
      </w:r>
      <w:r w:rsidRPr="004B19F7">
        <w:rPr>
          <w:rFonts w:ascii="Times New Roman" w:hAnsi="Times New Roman" w:cs="Times New Roman"/>
          <w:sz w:val="20"/>
        </w:rPr>
        <w:t>the NPDSCH from both HARQ processes</w:t>
      </w:r>
      <w:r w:rsidR="00C76101" w:rsidRPr="004B19F7">
        <w:rPr>
          <w:rFonts w:ascii="Times New Roman" w:hAnsi="Times New Roman" w:cs="Times New Roman"/>
          <w:sz w:val="20"/>
        </w:rPr>
        <w:t xml:space="preserve"> ha</w:t>
      </w:r>
      <w:r w:rsidR="00E94243" w:rsidRPr="004B19F7">
        <w:rPr>
          <w:rFonts w:ascii="Times New Roman" w:hAnsi="Times New Roman" w:cs="Times New Roman"/>
          <w:sz w:val="20"/>
        </w:rPr>
        <w:t>d</w:t>
      </w:r>
      <w:r w:rsidR="00C76101" w:rsidRPr="004B19F7">
        <w:rPr>
          <w:rFonts w:ascii="Times New Roman" w:hAnsi="Times New Roman" w:cs="Times New Roman"/>
          <w:sz w:val="20"/>
        </w:rPr>
        <w:t xml:space="preserve"> been received</w:t>
      </w:r>
      <w:r w:rsidRPr="004B19F7">
        <w:rPr>
          <w:rFonts w:ascii="Times New Roman" w:hAnsi="Times New Roman" w:cs="Times New Roman"/>
          <w:sz w:val="20"/>
        </w:rPr>
        <w:t>, then the UL sends the ACK/NACK</w:t>
      </w:r>
      <w:r w:rsidR="00E06F59" w:rsidRPr="004B19F7">
        <w:rPr>
          <w:rFonts w:ascii="Times New Roman" w:hAnsi="Times New Roman" w:cs="Times New Roman"/>
          <w:sz w:val="20"/>
        </w:rPr>
        <w:t xml:space="preserve">, as shown in </w:t>
      </w:r>
      <w:r w:rsidR="00993FC5" w:rsidRPr="007B0268">
        <w:rPr>
          <w:rFonts w:ascii="Times New Roman" w:hAnsi="Times New Roman" w:cs="Times New Roman"/>
          <w:sz w:val="20"/>
        </w:rPr>
        <w:fldChar w:fldCharType="begin"/>
      </w:r>
      <w:r w:rsidR="00993FC5" w:rsidRPr="004B19F7">
        <w:rPr>
          <w:rFonts w:ascii="Times New Roman" w:hAnsi="Times New Roman" w:cs="Times New Roman"/>
          <w:sz w:val="20"/>
        </w:rPr>
        <w:instrText xml:space="preserve"> REF _Ref488751460 \h  \* MERGEFORMAT </w:instrText>
      </w:r>
      <w:r w:rsidR="00993FC5" w:rsidRPr="007B0268">
        <w:rPr>
          <w:rFonts w:ascii="Times New Roman" w:hAnsi="Times New Roman" w:cs="Times New Roman"/>
          <w:sz w:val="20"/>
        </w:rPr>
      </w:r>
      <w:r w:rsidR="00993FC5" w:rsidRPr="007B0268">
        <w:rPr>
          <w:rFonts w:ascii="Times New Roman" w:hAnsi="Times New Roman" w:cs="Times New Roman"/>
          <w:sz w:val="20"/>
        </w:rPr>
        <w:fldChar w:fldCharType="separate"/>
      </w:r>
      <w:r w:rsidR="00D46219" w:rsidRPr="00D46219">
        <w:rPr>
          <w:rFonts w:ascii="Times New Roman" w:hAnsi="Times New Roman" w:cs="Times New Roman"/>
          <w:sz w:val="20"/>
        </w:rPr>
        <w:t xml:space="preserve">Figure </w:t>
      </w:r>
      <w:r w:rsidR="00993FC5" w:rsidRPr="007B0268">
        <w:rPr>
          <w:rFonts w:ascii="Times New Roman" w:hAnsi="Times New Roman" w:cs="Times New Roman"/>
          <w:sz w:val="20"/>
        </w:rPr>
        <w:fldChar w:fldCharType="end"/>
      </w:r>
      <w:r w:rsidR="003805F5">
        <w:rPr>
          <w:rFonts w:ascii="Times New Roman" w:hAnsi="Times New Roman" w:cs="Times New Roman"/>
          <w:sz w:val="20"/>
        </w:rPr>
        <w:t>7</w:t>
      </w:r>
      <w:r w:rsidR="00993FC5" w:rsidRPr="004B19F7">
        <w:rPr>
          <w:rFonts w:ascii="Times New Roman" w:hAnsi="Times New Roman" w:cs="Times New Roman"/>
          <w:sz w:val="20"/>
        </w:rPr>
        <w:t>.</w:t>
      </w:r>
      <w:r w:rsidR="00E06F59" w:rsidRPr="004B19F7">
        <w:rPr>
          <w:rFonts w:ascii="Times New Roman" w:hAnsi="Times New Roman" w:cs="Times New Roman"/>
          <w:sz w:val="20"/>
        </w:rPr>
        <w:t xml:space="preserve"> </w:t>
      </w:r>
    </w:p>
    <w:p w14:paraId="56118622" w14:textId="77777777" w:rsidR="00993FC5" w:rsidRDefault="00AA5F3A" w:rsidP="00525A9F">
      <w:pPr>
        <w:keepNext/>
      </w:pPr>
      <w:r w:rsidRPr="00AA5F3A">
        <w:rPr>
          <w:noProof/>
        </w:rPr>
        <w:drawing>
          <wp:inline distT="0" distB="0" distL="0" distR="0" wp14:anchorId="678CFE4E" wp14:editId="0A04DF97">
            <wp:extent cx="6120765" cy="4196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419673"/>
                    </a:xfrm>
                    <a:prstGeom prst="rect">
                      <a:avLst/>
                    </a:prstGeom>
                    <a:noFill/>
                    <a:ln>
                      <a:noFill/>
                    </a:ln>
                  </pic:spPr>
                </pic:pic>
              </a:graphicData>
            </a:graphic>
          </wp:inline>
        </w:drawing>
      </w:r>
    </w:p>
    <w:p w14:paraId="0A5B4213" w14:textId="788C58F3" w:rsidR="001F553E" w:rsidRPr="004B19F7" w:rsidRDefault="00993FC5" w:rsidP="00525A9F">
      <w:pPr>
        <w:pStyle w:val="Caption"/>
        <w:jc w:val="center"/>
        <w:rPr>
          <w:rFonts w:ascii="Times New Roman" w:hAnsi="Times New Roman" w:cs="Times New Roman"/>
          <w:bCs w:val="0"/>
          <w:sz w:val="20"/>
        </w:rPr>
      </w:pPr>
      <w:bookmarkStart w:id="24" w:name="_Ref488751460"/>
      <w:r w:rsidRPr="004B19F7">
        <w:rPr>
          <w:b/>
        </w:rPr>
        <w:t xml:space="preserve">Figure </w:t>
      </w:r>
      <w:bookmarkEnd w:id="24"/>
      <w:r w:rsidR="003805F5">
        <w:rPr>
          <w:b/>
        </w:rPr>
        <w:t>7</w:t>
      </w:r>
      <w:r w:rsidRPr="004B19F7">
        <w:rPr>
          <w:b/>
        </w:rPr>
        <w:t xml:space="preserve"> Example of </w:t>
      </w:r>
      <w:r w:rsidRPr="004B19F7">
        <w:rPr>
          <w:rFonts w:ascii="Times New Roman" w:hAnsi="Times New Roman" w:cs="Times New Roman"/>
          <w:bCs w:val="0"/>
          <w:sz w:val="20"/>
        </w:rPr>
        <w:t>two HARQ processes in an FDD system</w:t>
      </w:r>
    </w:p>
    <w:p w14:paraId="4684AF46" w14:textId="5D1187D8" w:rsidR="00E06F59" w:rsidRPr="004B19F7" w:rsidRDefault="00E06F59" w:rsidP="007B0268">
      <w:pPr>
        <w:jc w:val="both"/>
        <w:rPr>
          <w:rFonts w:ascii="Times New Roman" w:hAnsi="Times New Roman" w:cs="Times New Roman"/>
          <w:sz w:val="20"/>
        </w:rPr>
      </w:pPr>
      <w:r w:rsidRPr="004B19F7">
        <w:rPr>
          <w:rFonts w:ascii="Times New Roman" w:hAnsi="Times New Roman" w:cs="Times New Roman"/>
          <w:sz w:val="20"/>
        </w:rPr>
        <w:t xml:space="preserve">However, in a TDD system, as the UL and DL subframes are interlaced, </w:t>
      </w:r>
      <w:r w:rsidR="00525A9F" w:rsidRPr="004B19F7">
        <w:rPr>
          <w:rFonts w:ascii="Times New Roman" w:hAnsi="Times New Roman" w:cs="Times New Roman"/>
          <w:sz w:val="20"/>
        </w:rPr>
        <w:t xml:space="preserve">it is likely that </w:t>
      </w:r>
      <w:r w:rsidR="0092065F" w:rsidRPr="004B19F7">
        <w:rPr>
          <w:rFonts w:ascii="Times New Roman" w:hAnsi="Times New Roman" w:cs="Times New Roman"/>
          <w:sz w:val="20"/>
        </w:rPr>
        <w:t>for</w:t>
      </w:r>
      <w:r w:rsidRPr="004B19F7">
        <w:rPr>
          <w:rFonts w:ascii="Times New Roman" w:hAnsi="Times New Roman" w:cs="Times New Roman"/>
          <w:sz w:val="20"/>
        </w:rPr>
        <w:t xml:space="preserve"> the DL transmission of the 2nd HARQ process </w:t>
      </w:r>
      <w:r w:rsidR="0092065F" w:rsidRPr="004B19F7">
        <w:rPr>
          <w:rFonts w:ascii="Times New Roman" w:hAnsi="Times New Roman" w:cs="Times New Roman"/>
          <w:sz w:val="20"/>
        </w:rPr>
        <w:t xml:space="preserve">to </w:t>
      </w:r>
      <w:r w:rsidRPr="004B19F7">
        <w:rPr>
          <w:rFonts w:ascii="Times New Roman" w:hAnsi="Times New Roman" w:cs="Times New Roman"/>
          <w:sz w:val="20"/>
        </w:rPr>
        <w:t>start before the ACK/NACK of the 1st HARQ process, as shown in</w:t>
      </w:r>
      <w:r w:rsidR="003805F5">
        <w:rPr>
          <w:rFonts w:ascii="Times New Roman" w:hAnsi="Times New Roman" w:cs="Times New Roman"/>
          <w:sz w:val="20"/>
        </w:rPr>
        <w:t xml:space="preserve"> Figure 8</w:t>
      </w:r>
      <w:r w:rsidRPr="004B19F7">
        <w:rPr>
          <w:rFonts w:ascii="Times New Roman" w:hAnsi="Times New Roman" w:cs="Times New Roman"/>
          <w:sz w:val="20"/>
        </w:rPr>
        <w:t xml:space="preserve"> (configuration#</w:t>
      </w:r>
      <w:r w:rsidR="0002285C">
        <w:rPr>
          <w:rFonts w:ascii="Times New Roman" w:hAnsi="Times New Roman" w:cs="Times New Roman"/>
          <w:sz w:val="20"/>
        </w:rPr>
        <w:t>2</w:t>
      </w:r>
      <w:r w:rsidRPr="004B19F7">
        <w:rPr>
          <w:rFonts w:ascii="Times New Roman" w:hAnsi="Times New Roman" w:cs="Times New Roman"/>
          <w:sz w:val="20"/>
        </w:rPr>
        <w:t xml:space="preserve"> is used as an example). </w:t>
      </w:r>
    </w:p>
    <w:p w14:paraId="400E983A" w14:textId="57616C4B" w:rsidR="00295D25" w:rsidRDefault="0002285C" w:rsidP="00295D25">
      <w:pPr>
        <w:keepNext/>
      </w:pPr>
      <w:r w:rsidRPr="0002285C">
        <w:rPr>
          <w:noProof/>
        </w:rPr>
        <w:drawing>
          <wp:inline distT="0" distB="0" distL="0" distR="0" wp14:anchorId="07091878" wp14:editId="0206F954">
            <wp:extent cx="6575340" cy="5047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132" cy="519088"/>
                    </a:xfrm>
                    <a:prstGeom prst="rect">
                      <a:avLst/>
                    </a:prstGeom>
                    <a:noFill/>
                    <a:ln>
                      <a:noFill/>
                    </a:ln>
                  </pic:spPr>
                </pic:pic>
              </a:graphicData>
            </a:graphic>
          </wp:inline>
        </w:drawing>
      </w:r>
    </w:p>
    <w:p w14:paraId="6EAAA66C" w14:textId="06AF49A4" w:rsidR="00E06F59" w:rsidRPr="004B19F7" w:rsidRDefault="00295D25" w:rsidP="00295D25">
      <w:pPr>
        <w:pStyle w:val="Caption"/>
        <w:jc w:val="center"/>
        <w:rPr>
          <w:b/>
        </w:rPr>
      </w:pPr>
      <w:bookmarkStart w:id="25" w:name="_Ref494460280"/>
      <w:r w:rsidRPr="004B19F7">
        <w:rPr>
          <w:b/>
        </w:rPr>
        <w:t xml:space="preserve">Figure </w:t>
      </w:r>
      <w:bookmarkEnd w:id="25"/>
      <w:r w:rsidR="003805F5">
        <w:rPr>
          <w:b/>
        </w:rPr>
        <w:t>8</w:t>
      </w:r>
      <w:r w:rsidRPr="004B19F7">
        <w:rPr>
          <w:b/>
        </w:rPr>
        <w:t xml:space="preserve"> Example of two HARQ processes in a TDD system</w:t>
      </w:r>
    </w:p>
    <w:p w14:paraId="2214A46D" w14:textId="2D9BDD95" w:rsidR="002626BE" w:rsidRPr="002A2D3D" w:rsidRDefault="00AA5F3A" w:rsidP="007B0268">
      <w:pPr>
        <w:jc w:val="both"/>
        <w:rPr>
          <w:rFonts w:ascii="Times New Roman" w:hAnsi="Times New Roman" w:cs="Times New Roman"/>
          <w:b/>
          <w:bCs/>
          <w:sz w:val="20"/>
        </w:rPr>
      </w:pPr>
      <w:r w:rsidRPr="004B19F7">
        <w:rPr>
          <w:rFonts w:ascii="Times New Roman" w:hAnsi="Times New Roman" w:cs="Times New Roman"/>
          <w:sz w:val="20"/>
        </w:rPr>
        <w:t xml:space="preserve">Therefore, from a resource </w:t>
      </w:r>
      <w:r w:rsidR="0092065F" w:rsidRPr="004B19F7">
        <w:rPr>
          <w:rFonts w:ascii="Times New Roman" w:hAnsi="Times New Roman" w:cs="Times New Roman"/>
          <w:sz w:val="20"/>
        </w:rPr>
        <w:t xml:space="preserve">utilization </w:t>
      </w:r>
      <w:r w:rsidRPr="004B19F7">
        <w:rPr>
          <w:rFonts w:ascii="Times New Roman" w:hAnsi="Times New Roman" w:cs="Times New Roman"/>
          <w:sz w:val="20"/>
        </w:rPr>
        <w:t xml:space="preserve">point of view, in a TDD system, if two HARQ process </w:t>
      </w:r>
      <w:r w:rsidR="0092065F" w:rsidRPr="004B19F7">
        <w:rPr>
          <w:rFonts w:ascii="Times New Roman" w:hAnsi="Times New Roman" w:cs="Times New Roman"/>
          <w:sz w:val="20"/>
        </w:rPr>
        <w:t xml:space="preserve">are </w:t>
      </w:r>
      <w:r w:rsidRPr="004B19F7">
        <w:rPr>
          <w:rFonts w:ascii="Times New Roman" w:hAnsi="Times New Roman" w:cs="Times New Roman"/>
          <w:sz w:val="20"/>
        </w:rPr>
        <w:t xml:space="preserve">configured, we </w:t>
      </w:r>
      <w:r w:rsidR="002E7936" w:rsidRPr="004B19F7">
        <w:rPr>
          <w:rFonts w:ascii="Times New Roman" w:hAnsi="Times New Roman" w:cs="Times New Roman"/>
          <w:sz w:val="20"/>
        </w:rPr>
        <w:t>should</w:t>
      </w:r>
      <w:r w:rsidR="0092065F" w:rsidRPr="004B19F7">
        <w:rPr>
          <w:rFonts w:ascii="Times New Roman" w:hAnsi="Times New Roman" w:cs="Times New Roman"/>
          <w:sz w:val="20"/>
        </w:rPr>
        <w:t xml:space="preserve"> </w:t>
      </w:r>
      <w:r w:rsidRPr="004B19F7">
        <w:rPr>
          <w:rFonts w:ascii="Times New Roman" w:hAnsi="Times New Roman" w:cs="Times New Roman"/>
          <w:sz w:val="20"/>
        </w:rPr>
        <w:t xml:space="preserve">allow a UE to </w:t>
      </w:r>
      <w:r w:rsidR="0092065F" w:rsidRPr="004B19F7">
        <w:rPr>
          <w:rFonts w:ascii="Times New Roman" w:hAnsi="Times New Roman" w:cs="Times New Roman"/>
          <w:sz w:val="20"/>
        </w:rPr>
        <w:t xml:space="preserve">perform an </w:t>
      </w:r>
      <w:r w:rsidRPr="004B19F7">
        <w:rPr>
          <w:rFonts w:ascii="Times New Roman" w:hAnsi="Times New Roman" w:cs="Times New Roman"/>
          <w:sz w:val="20"/>
        </w:rPr>
        <w:t>UL transmission while there is a DL reception</w:t>
      </w:r>
      <w:r w:rsidR="00F91C7E" w:rsidRPr="004B19F7">
        <w:rPr>
          <w:rFonts w:ascii="Times New Roman" w:hAnsi="Times New Roman" w:cs="Times New Roman"/>
          <w:sz w:val="20"/>
        </w:rPr>
        <w:t xml:space="preserve"> still in progress</w:t>
      </w:r>
      <w:r w:rsidRPr="004B19F7">
        <w:rPr>
          <w:rFonts w:ascii="Times New Roman" w:hAnsi="Times New Roman" w:cs="Times New Roman"/>
          <w:sz w:val="20"/>
        </w:rPr>
        <w:t xml:space="preserve">, and vice versa. </w:t>
      </w:r>
      <w:r w:rsidRPr="002A2D3D">
        <w:rPr>
          <w:rFonts w:ascii="Times New Roman" w:hAnsi="Times New Roman" w:cs="Times New Roman"/>
          <w:sz w:val="20"/>
        </w:rPr>
        <w:t xml:space="preserve">This can further improve the throughput. </w:t>
      </w:r>
    </w:p>
    <w:p w14:paraId="23E622A7" w14:textId="5B9F0065" w:rsidR="002626BE" w:rsidRPr="002A2D3D" w:rsidRDefault="002A2D3D" w:rsidP="002A2D3D">
      <w:pPr>
        <w:rPr>
          <w:rFonts w:ascii="Times New Roman" w:hAnsi="Times New Roman"/>
          <w:b/>
          <w:bCs/>
          <w:i/>
        </w:rPr>
      </w:pPr>
      <w:bookmarkStart w:id="26" w:name="_Ref488751890"/>
      <w:bookmarkStart w:id="27" w:name="Proposal_10"/>
      <w:r>
        <w:rPr>
          <w:rFonts w:ascii="Times New Roman" w:hAnsi="Times New Roman" w:cs="Times New Roman"/>
          <w:b/>
          <w:i/>
          <w:sz w:val="20"/>
        </w:rPr>
        <w:t xml:space="preserve">Proposal </w:t>
      </w:r>
      <w:r w:rsidR="00CA44EE">
        <w:rPr>
          <w:rFonts w:ascii="Times New Roman" w:hAnsi="Times New Roman" w:cs="Times New Roman"/>
          <w:b/>
          <w:i/>
          <w:sz w:val="20"/>
        </w:rPr>
        <w:t>10</w:t>
      </w:r>
      <w:r>
        <w:rPr>
          <w:rFonts w:ascii="Times New Roman" w:hAnsi="Times New Roman" w:cs="Times New Roman"/>
          <w:b/>
          <w:i/>
          <w:sz w:val="20"/>
        </w:rPr>
        <w:t xml:space="preserve">: </w:t>
      </w:r>
      <w:r w:rsidR="002626BE" w:rsidRPr="002A2D3D">
        <w:rPr>
          <w:rFonts w:ascii="Times New Roman" w:hAnsi="Times New Roman" w:cs="Times New Roman"/>
          <w:b/>
          <w:i/>
          <w:sz w:val="20"/>
        </w:rPr>
        <w:t>To further improve the throughput, A UE should be allowed to have UL transmission while there is an DL reception, and vice versa.</w:t>
      </w:r>
      <w:bookmarkEnd w:id="26"/>
    </w:p>
    <w:bookmarkEnd w:id="27"/>
    <w:p w14:paraId="2C77ED32" w14:textId="257C2C3F" w:rsidR="00BA0384" w:rsidRDefault="00E50261" w:rsidP="00BA0384">
      <w:pPr>
        <w:pStyle w:val="Heading2"/>
      </w:pPr>
      <w:r>
        <w:t>Multi</w:t>
      </w:r>
      <w:r w:rsidR="00BA0384">
        <w:t xml:space="preserve">-carrier </w:t>
      </w:r>
      <w:r>
        <w:t>support</w:t>
      </w:r>
    </w:p>
    <w:p w14:paraId="0FD366AB" w14:textId="77777777" w:rsidR="00331742" w:rsidRPr="004B19F7" w:rsidRDefault="00E50261" w:rsidP="007B0268">
      <w:pPr>
        <w:jc w:val="both"/>
        <w:rPr>
          <w:rFonts w:ascii="Times New Roman" w:hAnsi="Times New Roman" w:cs="Times New Roman"/>
          <w:sz w:val="20"/>
        </w:rPr>
      </w:pPr>
      <w:r w:rsidRPr="004B19F7">
        <w:rPr>
          <w:rFonts w:ascii="Times New Roman" w:hAnsi="Times New Roman" w:cs="Times New Roman"/>
          <w:sz w:val="20"/>
        </w:rPr>
        <w:t xml:space="preserve">In the current NB-IoT FDD design, </w:t>
      </w:r>
      <w:r w:rsidR="00331742" w:rsidRPr="004B19F7">
        <w:rPr>
          <w:rFonts w:ascii="Times New Roman" w:hAnsi="Times New Roman" w:cs="Times New Roman"/>
          <w:sz w:val="20"/>
        </w:rPr>
        <w:t xml:space="preserve">multiple carriers (anchor and non-anchor) are supported. However, </w:t>
      </w:r>
      <w:r w:rsidRPr="004B19F7">
        <w:rPr>
          <w:rFonts w:ascii="Times New Roman" w:hAnsi="Times New Roman" w:cs="Times New Roman"/>
          <w:sz w:val="20"/>
        </w:rPr>
        <w:t>cross-carrier scheduling is not supported.</w:t>
      </w:r>
      <w:r w:rsidR="00331742" w:rsidRPr="004B19F7">
        <w:rPr>
          <w:rFonts w:ascii="Times New Roman" w:hAnsi="Times New Roman" w:cs="Times New Roman"/>
          <w:sz w:val="20"/>
        </w:rPr>
        <w:t xml:space="preserve"> Notice that in an FDD system, the number of UL and DL carriers can be independently configured (they do not have to be in pairs). Therefore, a simple support of multiple carriers can offer enough flexibility to cope with different load in the UL and DL, and it is not necessary to support cross-carrier scheduling. </w:t>
      </w:r>
    </w:p>
    <w:p w14:paraId="3C1656E2" w14:textId="5502CBCD" w:rsidR="00E50261" w:rsidRPr="004B19F7" w:rsidRDefault="00331742" w:rsidP="007B0268">
      <w:pPr>
        <w:jc w:val="both"/>
        <w:rPr>
          <w:rFonts w:ascii="Times New Roman" w:hAnsi="Times New Roman" w:cs="Times New Roman"/>
          <w:sz w:val="20"/>
        </w:rPr>
      </w:pPr>
      <w:r w:rsidRPr="004B19F7">
        <w:rPr>
          <w:rFonts w:ascii="Times New Roman" w:hAnsi="Times New Roman" w:cs="Times New Roman"/>
          <w:sz w:val="20"/>
        </w:rPr>
        <w:t>However, this is not the case in a TDD system, where the UL and DL are separate</w:t>
      </w:r>
      <w:r w:rsidR="00101C00" w:rsidRPr="004B19F7">
        <w:rPr>
          <w:rFonts w:ascii="Times New Roman" w:hAnsi="Times New Roman" w:cs="Times New Roman"/>
          <w:sz w:val="20"/>
        </w:rPr>
        <w:t>d</w:t>
      </w:r>
      <w:r w:rsidRPr="004B19F7">
        <w:rPr>
          <w:rFonts w:ascii="Times New Roman" w:hAnsi="Times New Roman" w:cs="Times New Roman"/>
          <w:sz w:val="20"/>
        </w:rPr>
        <w:t xml:space="preserve"> in time. Therefore, when multiple carriers (anchor and non-anchor) are configured, the same TDD configurations are required for both anchor and non-anchor carriers. Therefore, the number of carriers </w:t>
      </w:r>
      <w:r w:rsidR="00101C00" w:rsidRPr="004B19F7">
        <w:rPr>
          <w:rFonts w:ascii="Times New Roman" w:hAnsi="Times New Roman" w:cs="Times New Roman"/>
          <w:sz w:val="20"/>
        </w:rPr>
        <w:t xml:space="preserve">can be </w:t>
      </w:r>
      <w:r w:rsidRPr="004B19F7">
        <w:rPr>
          <w:rFonts w:ascii="Times New Roman" w:hAnsi="Times New Roman" w:cs="Times New Roman"/>
          <w:sz w:val="20"/>
        </w:rPr>
        <w:t xml:space="preserve">dimensioned based </w:t>
      </w:r>
      <w:r w:rsidR="00E94243" w:rsidRPr="004B19F7">
        <w:rPr>
          <w:rFonts w:ascii="Times New Roman" w:hAnsi="Times New Roman" w:cs="Times New Roman"/>
          <w:sz w:val="20"/>
        </w:rPr>
        <w:t xml:space="preserve">on </w:t>
      </w:r>
      <w:r w:rsidRPr="004B19F7">
        <w:rPr>
          <w:rFonts w:ascii="Times New Roman" w:hAnsi="Times New Roman" w:cs="Times New Roman"/>
          <w:sz w:val="20"/>
        </w:rPr>
        <w:t>the</w:t>
      </w:r>
      <w:r w:rsidR="00A4552E" w:rsidRPr="004B19F7">
        <w:rPr>
          <w:rFonts w:ascii="Times New Roman" w:hAnsi="Times New Roman" w:cs="Times New Roman"/>
          <w:sz w:val="20"/>
        </w:rPr>
        <w:t xml:space="preserve"> direction</w:t>
      </w:r>
      <w:r w:rsidR="00E94243" w:rsidRPr="004B19F7">
        <w:rPr>
          <w:rFonts w:ascii="Times New Roman" w:hAnsi="Times New Roman" w:cs="Times New Roman"/>
          <w:sz w:val="20"/>
        </w:rPr>
        <w:t xml:space="preserve"> (i.e., UL or DL)</w:t>
      </w:r>
      <w:r w:rsidR="00A4552E" w:rsidRPr="004B19F7">
        <w:rPr>
          <w:rFonts w:ascii="Times New Roman" w:hAnsi="Times New Roman" w:cs="Times New Roman"/>
          <w:sz w:val="20"/>
        </w:rPr>
        <w:t xml:space="preserve"> </w:t>
      </w:r>
      <w:r w:rsidR="00BE20EA" w:rsidRPr="004B19F7">
        <w:rPr>
          <w:rFonts w:ascii="Times New Roman" w:hAnsi="Times New Roman" w:cs="Times New Roman"/>
          <w:sz w:val="20"/>
        </w:rPr>
        <w:t>ha</w:t>
      </w:r>
      <w:r w:rsidR="00101C00" w:rsidRPr="004B19F7">
        <w:rPr>
          <w:rFonts w:ascii="Times New Roman" w:hAnsi="Times New Roman" w:cs="Times New Roman"/>
          <w:sz w:val="20"/>
        </w:rPr>
        <w:t>ving</w:t>
      </w:r>
      <w:r w:rsidR="00BE20EA" w:rsidRPr="004B19F7">
        <w:rPr>
          <w:rFonts w:ascii="Times New Roman" w:hAnsi="Times New Roman" w:cs="Times New Roman"/>
          <w:sz w:val="20"/>
        </w:rPr>
        <w:t xml:space="preserve"> </w:t>
      </w:r>
      <w:r w:rsidR="00A4552E" w:rsidRPr="004B19F7">
        <w:rPr>
          <w:rFonts w:ascii="Times New Roman" w:hAnsi="Times New Roman" w:cs="Times New Roman"/>
          <w:sz w:val="20"/>
        </w:rPr>
        <w:t xml:space="preserve">most </w:t>
      </w:r>
      <w:r w:rsidR="00BE20EA" w:rsidRPr="004B19F7">
        <w:rPr>
          <w:rFonts w:ascii="Times New Roman" w:hAnsi="Times New Roman" w:cs="Times New Roman"/>
          <w:sz w:val="20"/>
        </w:rPr>
        <w:t xml:space="preserve">of the </w:t>
      </w:r>
      <w:r w:rsidR="00A4552E" w:rsidRPr="004B19F7">
        <w:rPr>
          <w:rFonts w:ascii="Times New Roman" w:hAnsi="Times New Roman" w:cs="Times New Roman"/>
          <w:sz w:val="20"/>
        </w:rPr>
        <w:t xml:space="preserve">traffic. In this case, cross-carrier scheduling can help to achieve </w:t>
      </w:r>
      <w:r w:rsidR="00101C00" w:rsidRPr="004B19F7">
        <w:rPr>
          <w:rFonts w:ascii="Times New Roman" w:hAnsi="Times New Roman" w:cs="Times New Roman"/>
          <w:sz w:val="20"/>
        </w:rPr>
        <w:t xml:space="preserve">a </w:t>
      </w:r>
      <w:r w:rsidR="00A4552E" w:rsidRPr="004B19F7">
        <w:rPr>
          <w:rFonts w:ascii="Times New Roman" w:hAnsi="Times New Roman" w:cs="Times New Roman"/>
          <w:sz w:val="20"/>
        </w:rPr>
        <w:t xml:space="preserve">better loading balancing among carriers, and therefore potentially reduce the number of carriers that are needed in a cell. </w:t>
      </w:r>
    </w:p>
    <w:p w14:paraId="400FEEBF" w14:textId="0BD1D885" w:rsidR="00BA0384" w:rsidRPr="004B19F7" w:rsidRDefault="00E50261" w:rsidP="007B0268">
      <w:pPr>
        <w:jc w:val="both"/>
        <w:rPr>
          <w:rFonts w:ascii="Times New Roman" w:hAnsi="Times New Roman" w:cs="Times New Roman"/>
          <w:sz w:val="20"/>
        </w:rPr>
      </w:pPr>
      <w:r w:rsidRPr="004B19F7">
        <w:rPr>
          <w:rFonts w:ascii="Times New Roman" w:hAnsi="Times New Roman" w:cs="Times New Roman"/>
          <w:sz w:val="20"/>
        </w:rPr>
        <w:t>As mentioned in our companion paper [</w:t>
      </w:r>
      <w:r w:rsidR="00A03446" w:rsidRPr="004B19F7">
        <w:rPr>
          <w:rFonts w:ascii="Times New Roman" w:hAnsi="Times New Roman" w:cs="Times New Roman"/>
          <w:sz w:val="20"/>
        </w:rPr>
        <w:t>5</w:t>
      </w:r>
      <w:r w:rsidRPr="004B19F7">
        <w:rPr>
          <w:rFonts w:ascii="Times New Roman" w:hAnsi="Times New Roman" w:cs="Times New Roman"/>
          <w:sz w:val="20"/>
        </w:rPr>
        <w:t>], DL gap should be support</w:t>
      </w:r>
      <w:r w:rsidR="00BE20EA" w:rsidRPr="004B19F7">
        <w:rPr>
          <w:rFonts w:ascii="Times New Roman" w:hAnsi="Times New Roman" w:cs="Times New Roman"/>
          <w:sz w:val="20"/>
        </w:rPr>
        <w:t>ed</w:t>
      </w:r>
      <w:r w:rsidRPr="004B19F7">
        <w:rPr>
          <w:rFonts w:ascii="Times New Roman" w:hAnsi="Times New Roman" w:cs="Times New Roman"/>
          <w:sz w:val="20"/>
        </w:rPr>
        <w:t xml:space="preserve"> in NB-IoT TDD due to the same reason as it is in FDD. </w:t>
      </w:r>
      <w:r w:rsidR="00DA4DCA" w:rsidRPr="004B19F7">
        <w:rPr>
          <w:rFonts w:ascii="Times New Roman" w:hAnsi="Times New Roman" w:cs="Times New Roman"/>
          <w:sz w:val="20"/>
        </w:rPr>
        <w:t>In the TDD case</w:t>
      </w:r>
      <w:r w:rsidRPr="004B19F7">
        <w:rPr>
          <w:rFonts w:ascii="Times New Roman" w:hAnsi="Times New Roman" w:cs="Times New Roman"/>
          <w:sz w:val="20"/>
        </w:rPr>
        <w:t xml:space="preserve">, we should also take the DL and UL configurations from different TDD configurations into consideration.  When a DL gap is configured, we can notice that in some of the TDD configurations the </w:t>
      </w:r>
      <w:r w:rsidR="00845935" w:rsidRPr="004B19F7">
        <w:rPr>
          <w:rFonts w:ascii="Times New Roman" w:hAnsi="Times New Roman" w:cs="Times New Roman"/>
          <w:sz w:val="20"/>
        </w:rPr>
        <w:t xml:space="preserve">number of available DL </w:t>
      </w:r>
      <w:r w:rsidR="00DA4DCA" w:rsidRPr="004B19F7">
        <w:rPr>
          <w:rFonts w:ascii="Times New Roman" w:hAnsi="Times New Roman" w:cs="Times New Roman"/>
          <w:sz w:val="20"/>
        </w:rPr>
        <w:t xml:space="preserve">subframes are limited, which means </w:t>
      </w:r>
      <w:r w:rsidR="00101C00" w:rsidRPr="004B19F7">
        <w:rPr>
          <w:rFonts w:ascii="Times New Roman" w:hAnsi="Times New Roman" w:cs="Times New Roman"/>
          <w:sz w:val="20"/>
        </w:rPr>
        <w:t xml:space="preserve">there </w:t>
      </w:r>
      <w:r w:rsidR="00DA4DCA" w:rsidRPr="004B19F7">
        <w:rPr>
          <w:rFonts w:ascii="Times New Roman" w:hAnsi="Times New Roman" w:cs="Times New Roman"/>
          <w:sz w:val="20"/>
        </w:rPr>
        <w:t xml:space="preserve">may not be enough </w:t>
      </w:r>
      <w:r w:rsidR="00101C00" w:rsidRPr="004B19F7">
        <w:rPr>
          <w:rFonts w:ascii="Times New Roman" w:hAnsi="Times New Roman" w:cs="Times New Roman"/>
          <w:sz w:val="20"/>
        </w:rPr>
        <w:t xml:space="preserve">DL subframes </w:t>
      </w:r>
      <w:r w:rsidR="00DA4DCA" w:rsidRPr="004B19F7">
        <w:rPr>
          <w:rFonts w:ascii="Times New Roman" w:hAnsi="Times New Roman" w:cs="Times New Roman"/>
          <w:sz w:val="20"/>
        </w:rPr>
        <w:t>to finish sending the intended NPDSCH</w:t>
      </w:r>
      <w:r w:rsidR="002626BE" w:rsidRPr="004B19F7">
        <w:rPr>
          <w:rFonts w:ascii="Times New Roman" w:hAnsi="Times New Roman" w:cs="Times New Roman"/>
          <w:sz w:val="20"/>
        </w:rPr>
        <w:t xml:space="preserve"> together with NPDCCH </w:t>
      </w:r>
      <w:r w:rsidR="00101C00" w:rsidRPr="004B19F7">
        <w:rPr>
          <w:rFonts w:ascii="Times New Roman" w:hAnsi="Times New Roman" w:cs="Times New Roman"/>
          <w:sz w:val="20"/>
        </w:rPr>
        <w:t>dur</w:t>
      </w:r>
      <w:r w:rsidR="002626BE" w:rsidRPr="004B19F7">
        <w:rPr>
          <w:rFonts w:ascii="Times New Roman" w:hAnsi="Times New Roman" w:cs="Times New Roman"/>
          <w:sz w:val="20"/>
        </w:rPr>
        <w:t>in</w:t>
      </w:r>
      <w:r w:rsidR="00101C00" w:rsidRPr="004B19F7">
        <w:rPr>
          <w:rFonts w:ascii="Times New Roman" w:hAnsi="Times New Roman" w:cs="Times New Roman"/>
          <w:sz w:val="20"/>
        </w:rPr>
        <w:t>g</w:t>
      </w:r>
      <w:r w:rsidR="002626BE" w:rsidRPr="004B19F7">
        <w:rPr>
          <w:rFonts w:ascii="Times New Roman" w:hAnsi="Times New Roman" w:cs="Times New Roman"/>
          <w:sz w:val="20"/>
        </w:rPr>
        <w:t xml:space="preserve"> a DL gap</w:t>
      </w:r>
      <w:r w:rsidR="00DA4DCA" w:rsidRPr="004B19F7">
        <w:rPr>
          <w:rFonts w:ascii="Times New Roman" w:hAnsi="Times New Roman" w:cs="Times New Roman"/>
          <w:sz w:val="20"/>
        </w:rPr>
        <w:t xml:space="preserve">. However, since the DL transmission of NPDCCH is usually short, it can be beneficial to send the NPDCCH in the DL gap, and redirect the UE to another carrier for the scheduled NPDSCH. In this case, the DL gap can be better utilized to solve the blocking problem. </w:t>
      </w:r>
    </w:p>
    <w:p w14:paraId="3E46FCA3" w14:textId="0B761CD7" w:rsidR="00DA4DCA" w:rsidRPr="002A2D3D" w:rsidRDefault="002A2D3D" w:rsidP="002A2D3D">
      <w:pPr>
        <w:rPr>
          <w:rFonts w:ascii="Times New Roman" w:hAnsi="Times New Roman" w:cs="Times New Roman"/>
          <w:b/>
          <w:i/>
          <w:sz w:val="20"/>
        </w:rPr>
      </w:pPr>
      <w:bookmarkStart w:id="28" w:name="Proposal_11"/>
      <w:r>
        <w:rPr>
          <w:rFonts w:ascii="Times New Roman" w:hAnsi="Times New Roman" w:cs="Times New Roman"/>
          <w:b/>
          <w:i/>
          <w:sz w:val="20"/>
        </w:rPr>
        <w:t>Proposal 1</w:t>
      </w:r>
      <w:r w:rsidR="00CA44EE">
        <w:rPr>
          <w:rFonts w:ascii="Times New Roman" w:hAnsi="Times New Roman" w:cs="Times New Roman"/>
          <w:b/>
          <w:i/>
          <w:sz w:val="20"/>
        </w:rPr>
        <w:t>1</w:t>
      </w:r>
      <w:r>
        <w:rPr>
          <w:rFonts w:ascii="Times New Roman" w:hAnsi="Times New Roman" w:cs="Times New Roman"/>
          <w:b/>
          <w:i/>
          <w:sz w:val="20"/>
        </w:rPr>
        <w:t xml:space="preserve">: </w:t>
      </w:r>
      <w:r w:rsidR="002626BE" w:rsidRPr="002A2D3D">
        <w:rPr>
          <w:rFonts w:ascii="Times New Roman" w:hAnsi="Times New Roman" w:cs="Times New Roman"/>
          <w:b/>
          <w:i/>
          <w:sz w:val="20"/>
        </w:rPr>
        <w:t>Cross carrier scheduling should be supported in NB-IoT TDD.</w:t>
      </w:r>
    </w:p>
    <w:bookmarkEnd w:id="28"/>
    <w:p w14:paraId="2B9F4C08" w14:textId="77777777" w:rsidR="00BA0384" w:rsidRPr="00293A54" w:rsidRDefault="00BA0384" w:rsidP="00BA0384">
      <w:pPr>
        <w:pStyle w:val="Heading1"/>
      </w:pPr>
      <w:r w:rsidRPr="00293A54">
        <w:lastRenderedPageBreak/>
        <w:t xml:space="preserve">Conclusions </w:t>
      </w:r>
    </w:p>
    <w:p w14:paraId="0A470810" w14:textId="780DA5EA" w:rsidR="00CA44EE" w:rsidRDefault="00BA0384" w:rsidP="00CA44EE">
      <w:pPr>
        <w:spacing w:after="0"/>
        <w:jc w:val="both"/>
        <w:rPr>
          <w:rFonts w:ascii="Times New Roman" w:hAnsi="Times New Roman" w:cs="Times New Roman"/>
          <w:bCs/>
          <w:sz w:val="20"/>
          <w:szCs w:val="20"/>
        </w:rPr>
      </w:pPr>
      <w:r w:rsidRPr="004B19F7">
        <w:rPr>
          <w:rFonts w:ascii="Times New Roman" w:hAnsi="Times New Roman" w:cs="Times New Roman"/>
          <w:bCs/>
          <w:sz w:val="20"/>
          <w:szCs w:val="20"/>
        </w:rPr>
        <w:t xml:space="preserve">This contribution </w:t>
      </w:r>
      <w:r w:rsidRPr="004B19F7">
        <w:rPr>
          <w:rFonts w:ascii="Times New Roman" w:hAnsi="Times New Roman" w:cs="Times New Roman"/>
          <w:sz w:val="20"/>
          <w:szCs w:val="20"/>
        </w:rPr>
        <w:t>provided an analysis</w:t>
      </w:r>
      <w:r w:rsidR="00C37754" w:rsidRPr="004B19F7">
        <w:rPr>
          <w:rFonts w:ascii="Times New Roman" w:hAnsi="Times New Roman" w:cs="Times New Roman"/>
          <w:sz w:val="20"/>
          <w:szCs w:val="20"/>
        </w:rPr>
        <w:t xml:space="preserve"> on the better suitability that some LTE TDD configurations have as to be considered for supporting TDD into NB-IoT, the potential usage of UpPTS, and DwPTS in TDD NB-IoT, and common aspects associated with HARQ and multi-carrier support</w:t>
      </w:r>
      <w:r w:rsidRPr="004B19F7">
        <w:rPr>
          <w:rFonts w:ascii="Times New Roman" w:hAnsi="Times New Roman" w:cs="Times New Roman"/>
          <w:sz w:val="20"/>
          <w:szCs w:val="20"/>
        </w:rPr>
        <w:t xml:space="preserve">. </w:t>
      </w:r>
      <w:r w:rsidRPr="004B19F7">
        <w:rPr>
          <w:rFonts w:ascii="Times New Roman" w:hAnsi="Times New Roman" w:cs="Times New Roman"/>
          <w:bCs/>
          <w:sz w:val="20"/>
          <w:szCs w:val="20"/>
        </w:rPr>
        <w:t>From the analysis performed the following</w:t>
      </w:r>
      <w:r w:rsidR="00C37754" w:rsidRPr="004B19F7">
        <w:rPr>
          <w:rFonts w:ascii="Times New Roman" w:hAnsi="Times New Roman" w:cs="Times New Roman"/>
          <w:bCs/>
          <w:sz w:val="20"/>
          <w:szCs w:val="20"/>
        </w:rPr>
        <w:t xml:space="preserve"> observations and proposals have been enunciated</w:t>
      </w:r>
      <w:r w:rsidRPr="004B19F7">
        <w:rPr>
          <w:rFonts w:ascii="Times New Roman" w:hAnsi="Times New Roman" w:cs="Times New Roman"/>
          <w:bCs/>
          <w:sz w:val="20"/>
          <w:szCs w:val="20"/>
        </w:rPr>
        <w:t>:</w:t>
      </w:r>
    </w:p>
    <w:p w14:paraId="3EA300B6" w14:textId="41DD1939" w:rsidR="00A51F2A" w:rsidRDefault="00A51F2A" w:rsidP="00CA44EE">
      <w:pPr>
        <w:spacing w:after="0"/>
        <w:jc w:val="both"/>
        <w:rPr>
          <w:rFonts w:ascii="Times New Roman" w:hAnsi="Times New Roman" w:cs="Times New Roman"/>
          <w:bCs/>
          <w:sz w:val="20"/>
          <w:szCs w:val="20"/>
        </w:rPr>
      </w:pPr>
    </w:p>
    <w:p w14:paraId="50B6EBEF" w14:textId="77777777" w:rsidR="00D46219" w:rsidRPr="00727050" w:rsidRDefault="00A51F2A" w:rsidP="008B391E">
      <w:pPr>
        <w:jc w:val="both"/>
        <w:rPr>
          <w:rFonts w:ascii="Times New Roman" w:hAnsi="Times New Roman" w:cs="Times New Roman"/>
          <w:b/>
          <w:i/>
          <w:sz w:val="20"/>
          <w:szCs w:val="20"/>
          <w:lang w:val="en-GB"/>
        </w:rPr>
      </w:pPr>
      <w:r>
        <w:rPr>
          <w:rFonts w:ascii="Times New Roman" w:hAnsi="Times New Roman"/>
          <w:b/>
          <w:i/>
          <w:sz w:val="20"/>
          <w:szCs w:val="20"/>
        </w:rPr>
        <w:fldChar w:fldCharType="begin"/>
      </w:r>
      <w:r>
        <w:rPr>
          <w:rFonts w:ascii="Times New Roman" w:hAnsi="Times New Roman"/>
          <w:b/>
          <w:i/>
          <w:sz w:val="20"/>
          <w:szCs w:val="20"/>
        </w:rPr>
        <w:instrText xml:space="preserve"> REF Observation_1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Observation 1: In TDD NB-IoT the typical use cases make use of a large number of repetitions for reaching a given Coverage/MCL target, while in the LTE TDD cell the traffic situation might change more dynamically and can even be adjusted on a per radio frame basis. For that reason, the TDD NB-IoT couldn’t follow the dynamism of a LTE TDD cell.</w:t>
      </w:r>
    </w:p>
    <w:p w14:paraId="1FA5FE6E" w14:textId="7BF07228" w:rsidR="00A51F2A" w:rsidRDefault="00A51F2A" w:rsidP="00A51F2A">
      <w:pPr>
        <w:jc w:val="both"/>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Observation_2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Observation 2: When a “cross subframe co-channel interference” happens to occur between a TDD NB-IoT cell and a LTE TDD cell configured with eIMTA, the TDD NB-IoT device is handle</w:t>
      </w:r>
      <w:r w:rsidR="00D46219">
        <w:rPr>
          <w:rFonts w:ascii="Times New Roman" w:hAnsi="Times New Roman" w:cs="Times New Roman"/>
          <w:b/>
          <w:i/>
          <w:sz w:val="20"/>
          <w:szCs w:val="20"/>
          <w:lang w:val="en-GB"/>
        </w:rPr>
        <w:t>d</w:t>
      </w:r>
      <w:r w:rsidR="00D46219" w:rsidRPr="00727050">
        <w:rPr>
          <w:rFonts w:ascii="Times New Roman" w:hAnsi="Times New Roman" w:cs="Times New Roman"/>
          <w:b/>
          <w:i/>
          <w:sz w:val="20"/>
          <w:szCs w:val="20"/>
          <w:lang w:val="en-GB"/>
        </w:rPr>
        <w:t xml:space="preserve"> in the same </w:t>
      </w:r>
      <w:r w:rsidR="00D46219">
        <w:rPr>
          <w:rFonts w:ascii="Times New Roman" w:hAnsi="Times New Roman" w:cs="Times New Roman"/>
          <w:b/>
          <w:i/>
          <w:sz w:val="20"/>
          <w:szCs w:val="20"/>
          <w:lang w:val="en-GB"/>
        </w:rPr>
        <w:t xml:space="preserve">way as </w:t>
      </w:r>
      <w:r w:rsidR="00D46219" w:rsidRPr="00727050">
        <w:rPr>
          <w:rFonts w:ascii="Times New Roman" w:hAnsi="Times New Roman" w:cs="Times New Roman"/>
          <w:b/>
          <w:i/>
          <w:sz w:val="20"/>
          <w:szCs w:val="20"/>
          <w:lang w:val="en-GB"/>
        </w:rPr>
        <w:t>“</w:t>
      </w:r>
      <w:r w:rsidR="00D46219" w:rsidRPr="00727050">
        <w:rPr>
          <w:rFonts w:ascii="Times New Roman" w:hAnsi="Times New Roman" w:cs="Times New Roman"/>
          <w:b/>
          <w:i/>
          <w:sz w:val="20"/>
          <w:szCs w:val="20"/>
        </w:rPr>
        <w:t>non-eIMTA-capable” devices</w:t>
      </w:r>
      <w:r w:rsidR="00D46219" w:rsidRPr="00727050">
        <w:rPr>
          <w:rFonts w:ascii="Times New Roman" w:hAnsi="Times New Roman" w:cs="Times New Roman"/>
          <w:b/>
          <w:i/>
          <w:sz w:val="20"/>
          <w:szCs w:val="20"/>
          <w:lang w:val="en-GB"/>
        </w:rPr>
        <w:t xml:space="preserve"> are handled by the LTE TDD cell.</w:t>
      </w:r>
      <w:r>
        <w:rPr>
          <w:rFonts w:ascii="Times New Roman" w:hAnsi="Times New Roman"/>
          <w:b/>
          <w:i/>
          <w:sz w:val="20"/>
          <w:szCs w:val="20"/>
        </w:rPr>
        <w:fldChar w:fldCharType="end"/>
      </w:r>
      <w:r>
        <w:rPr>
          <w:rFonts w:ascii="Times New Roman" w:hAnsi="Times New Roman"/>
          <w:b/>
          <w:i/>
          <w:sz w:val="20"/>
          <w:szCs w:val="20"/>
        </w:rPr>
        <w:t xml:space="preserve"> </w:t>
      </w:r>
    </w:p>
    <w:p w14:paraId="4DF542FF" w14:textId="5C17CD25" w:rsidR="00A51F2A" w:rsidRDefault="00A51F2A" w:rsidP="00A51F2A">
      <w:pPr>
        <w:jc w:val="both"/>
        <w:rPr>
          <w:rFonts w:ascii="Times New Roman" w:hAnsi="Times New Roman"/>
          <w:b/>
          <w:i/>
          <w:sz w:val="20"/>
          <w:szCs w:val="20"/>
        </w:rPr>
      </w:pPr>
      <w:r>
        <w:rPr>
          <w:rFonts w:ascii="Times New Roman" w:hAnsi="Times New Roman"/>
          <w:b/>
          <w:i/>
          <w:sz w:val="20"/>
          <w:szCs w:val="20"/>
        </w:rPr>
        <w:fldChar w:fldCharType="begin"/>
      </w:r>
      <w:r>
        <w:rPr>
          <w:rFonts w:ascii="Times New Roman" w:hAnsi="Times New Roman"/>
          <w:b/>
          <w:i/>
          <w:sz w:val="20"/>
          <w:szCs w:val="20"/>
        </w:rPr>
        <w:instrText xml:space="preserve"> REF Observation_3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 xml:space="preserve">Observation 3: </w:t>
      </w:r>
      <w:r w:rsidR="00D46219" w:rsidRPr="00727050">
        <w:rPr>
          <w:rFonts w:ascii="Times New Roman" w:hAnsi="Times New Roman" w:cs="Times New Roman"/>
          <w:b/>
          <w:sz w:val="20"/>
          <w:szCs w:val="20"/>
        </w:rPr>
        <w:t>For DwPTS, TDD NB-IoT would require do not interfere with the first two symbols used in legacy for transmitting RS and control information. Hence, the DwPTS symbols usable for TDD NB-IoT could be those starting from symbol #2 onwards, without requiring any symbol level bitmap.</w:t>
      </w:r>
      <w:r>
        <w:rPr>
          <w:rFonts w:ascii="Times New Roman" w:hAnsi="Times New Roman"/>
          <w:b/>
          <w:i/>
          <w:sz w:val="20"/>
          <w:szCs w:val="20"/>
        </w:rPr>
        <w:fldChar w:fldCharType="end"/>
      </w:r>
    </w:p>
    <w:p w14:paraId="66CFDAD3" w14:textId="77777777" w:rsidR="00D46219" w:rsidRPr="00727050" w:rsidRDefault="00A51F2A" w:rsidP="006F7A21">
      <w:pPr>
        <w:jc w:val="both"/>
        <w:rPr>
          <w:rFonts w:ascii="Times New Roman" w:hAnsi="Times New Roman" w:cs="Times New Roman"/>
          <w:b/>
          <w:sz w:val="20"/>
          <w:szCs w:val="20"/>
          <w:lang w:val="en-GB"/>
        </w:rPr>
      </w:pPr>
      <w:r>
        <w:rPr>
          <w:rFonts w:ascii="Times New Roman" w:hAnsi="Times New Roman"/>
          <w:b/>
          <w:i/>
          <w:sz w:val="20"/>
          <w:szCs w:val="20"/>
        </w:rPr>
        <w:fldChar w:fldCharType="begin"/>
      </w:r>
      <w:r>
        <w:rPr>
          <w:rFonts w:ascii="Times New Roman" w:hAnsi="Times New Roman"/>
          <w:b/>
          <w:i/>
          <w:sz w:val="20"/>
          <w:szCs w:val="20"/>
        </w:rPr>
        <w:instrText xml:space="preserve"> REF Observation_4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 xml:space="preserve">Observation 4: </w:t>
      </w:r>
      <w:r w:rsidR="00D46219" w:rsidRPr="00727050">
        <w:rPr>
          <w:rFonts w:ascii="Times New Roman" w:hAnsi="Times New Roman" w:cs="Times New Roman"/>
          <w:b/>
          <w:sz w:val="20"/>
          <w:szCs w:val="20"/>
        </w:rPr>
        <w:t>For UpPTS, the SC-FDMA symbols can be used by the devices for transmitting SRS. In today’s NB-IoT systems, collisions with SRS can occur, which is sorted out by the network (e.g., via puncturing). Similarly, and given that for TDD NB-IoT it would be valuable to use the resources in UpPTS, it can be let up to network to handle the potential collisions with SRS as it does today.</w:t>
      </w:r>
    </w:p>
    <w:p w14:paraId="17DD7FC1" w14:textId="376637E1" w:rsidR="00A51F2A" w:rsidRDefault="00A51F2A" w:rsidP="00A51F2A">
      <w:pPr>
        <w:rPr>
          <w:rFonts w:ascii="Times New Roman" w:hAnsi="Times New Roman"/>
          <w:b/>
          <w:i/>
          <w:sz w:val="20"/>
          <w:szCs w:val="20"/>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Observation_5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b/>
          <w:bCs/>
          <w:i/>
          <w:sz w:val="20"/>
          <w:szCs w:val="20"/>
        </w:rPr>
        <w:t xml:space="preserve">Observation 5: </w:t>
      </w:r>
      <w:r w:rsidR="00D46219" w:rsidRPr="002A2D3D">
        <w:rPr>
          <w:rFonts w:ascii="Times New Roman" w:hAnsi="Times New Roman"/>
          <w:b/>
          <w:bCs/>
          <w:i/>
          <w:sz w:val="20"/>
          <w:szCs w:val="20"/>
        </w:rPr>
        <w:t xml:space="preserve">A MCL target of 164dB seems to be too aggressive to be met in a TDD operation, </w:t>
      </w:r>
      <w:r w:rsidR="00D46219" w:rsidRPr="002A2D3D">
        <w:rPr>
          <w:rFonts w:ascii="Times New Roman" w:eastAsia="Times New Roman" w:hAnsi="Times New Roman" w:cs="Times New Roman"/>
          <w:b/>
          <w:i/>
          <w:sz w:val="20"/>
          <w:szCs w:val="20"/>
        </w:rPr>
        <w:t>and we will need to find a way to compensate for lack of available resources in DL and UL through an excessive relaxation of the latency, a much more aggressive channel estimator, the usage of DwPTS/UpPTS in the special subframes, among other things</w:t>
      </w:r>
      <w:r w:rsidR="00D46219" w:rsidRPr="002A2D3D">
        <w:rPr>
          <w:rFonts w:ascii="Times New Roman" w:hAnsi="Times New Roman"/>
          <w:b/>
          <w:bCs/>
          <w:i/>
          <w:sz w:val="20"/>
          <w:szCs w:val="20"/>
        </w:rPr>
        <w:t>.</w:t>
      </w:r>
      <w:r>
        <w:rPr>
          <w:rFonts w:ascii="Times New Roman" w:hAnsi="Times New Roman"/>
          <w:b/>
          <w:i/>
          <w:sz w:val="20"/>
          <w:szCs w:val="20"/>
        </w:rPr>
        <w:fldChar w:fldCharType="end"/>
      </w:r>
    </w:p>
    <w:p w14:paraId="37445B2E" w14:textId="77777777" w:rsidR="00CA44EE" w:rsidRDefault="00CA44EE" w:rsidP="00CA44EE">
      <w:pPr>
        <w:spacing w:after="0"/>
        <w:jc w:val="both"/>
        <w:rPr>
          <w:rFonts w:ascii="Times New Roman" w:hAnsi="Times New Roman"/>
          <w:b/>
          <w:i/>
          <w:sz w:val="20"/>
          <w:szCs w:val="20"/>
        </w:rPr>
      </w:pPr>
    </w:p>
    <w:p w14:paraId="422D9F05" w14:textId="77777777" w:rsidR="00D46219" w:rsidRPr="00727050" w:rsidRDefault="00CA44EE" w:rsidP="00727050">
      <w:pPr>
        <w:rPr>
          <w:rFonts w:ascii="Times New Roman" w:hAnsi="Times New Roman" w:cs="Times New Roman"/>
          <w:b/>
          <w:i/>
          <w:sz w:val="20"/>
        </w:rPr>
      </w:pPr>
      <w:r w:rsidRPr="004B19F7">
        <w:rPr>
          <w:rFonts w:ascii="Times New Roman" w:hAnsi="Times New Roman"/>
          <w:b/>
          <w:i/>
          <w:sz w:val="20"/>
          <w:szCs w:val="20"/>
        </w:rPr>
        <w:t xml:space="preserve"> </w:t>
      </w:r>
      <w:r>
        <w:rPr>
          <w:rFonts w:ascii="Times New Roman" w:hAnsi="Times New Roman"/>
          <w:b/>
          <w:i/>
          <w:sz w:val="20"/>
          <w:szCs w:val="20"/>
        </w:rPr>
        <w:fldChar w:fldCharType="begin"/>
      </w:r>
      <w:r>
        <w:rPr>
          <w:rFonts w:ascii="Times New Roman" w:hAnsi="Times New Roman"/>
          <w:b/>
          <w:i/>
          <w:sz w:val="20"/>
          <w:szCs w:val="20"/>
        </w:rPr>
        <w:instrText xml:space="preserve"> REF Proposal_1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i/>
          <w:sz w:val="20"/>
        </w:rPr>
        <w:t xml:space="preserve">Proposal 1: </w:t>
      </w:r>
      <w:r w:rsidR="00D46219" w:rsidRPr="00727050">
        <w:rPr>
          <w:rFonts w:ascii="Times New Roman" w:hAnsi="Times New Roman" w:cs="Times New Roman"/>
          <w:b/>
          <w:i/>
          <w:sz w:val="20"/>
        </w:rPr>
        <w:t>Use the existing LTE TDD configurations for introducing the TDD support into NB-IoT in all deployment modes (i.e., in-band, guard-band, and stand-alone).</w:t>
      </w: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Proposal_2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bCs/>
          <w:i/>
          <w:sz w:val="20"/>
        </w:rPr>
        <w:t>Proposal 2: In Rel-15 prioritize LTE TDD configurations having a more adequate number of UL and DL subframes (e.g., TDD configuration #1, #2, #3, #4)</w:t>
      </w:r>
      <w:r w:rsidR="00D46219" w:rsidRPr="00727050">
        <w:rPr>
          <w:rFonts w:ascii="Times New Roman" w:hAnsi="Times New Roman" w:cs="Times New Roman"/>
          <w:b/>
          <w:i/>
          <w:sz w:val="20"/>
        </w:rPr>
        <w:t xml:space="preserve">. </w:t>
      </w:r>
    </w:p>
    <w:p w14:paraId="386071F2" w14:textId="77777777" w:rsidR="00D46219" w:rsidRPr="00727050" w:rsidRDefault="00CA44EE" w:rsidP="00803763">
      <w:pPr>
        <w:jc w:val="both"/>
        <w:rPr>
          <w:rFonts w:ascii="Times New Roman" w:hAnsi="Times New Roman" w:cs="Times New Roman"/>
          <w:sz w:val="20"/>
          <w:szCs w:val="20"/>
          <w:lang w:val="en-GB"/>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Proposal_3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Proposal 3: Confirm working assumption that “TDD NB-IoT will support all LTE special subframe configurations”.</w:t>
      </w:r>
    </w:p>
    <w:p w14:paraId="0C807F45" w14:textId="77777777" w:rsidR="00D46219" w:rsidRPr="002A2D3D" w:rsidRDefault="00CA44EE" w:rsidP="002A2D3D">
      <w:pPr>
        <w:jc w:val="both"/>
        <w:rPr>
          <w:rFonts w:ascii="Times New Roman" w:hAnsi="Times New Roman" w:cs="Times New Roman"/>
          <w:b/>
          <w:i/>
          <w:sz w:val="20"/>
          <w:szCs w:val="20"/>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Proposal_4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bCs/>
          <w:i/>
          <w:sz w:val="20"/>
          <w:szCs w:val="20"/>
        </w:rPr>
        <w:t xml:space="preserve">Proposal 4: </w:t>
      </w:r>
      <w:r w:rsidR="00D46219" w:rsidRPr="002A2D3D">
        <w:rPr>
          <w:rFonts w:ascii="Times New Roman" w:hAnsi="Times New Roman" w:cs="Times New Roman"/>
          <w:b/>
          <w:bCs/>
          <w:i/>
          <w:sz w:val="20"/>
          <w:szCs w:val="20"/>
        </w:rPr>
        <w:t xml:space="preserve">Utilize </w:t>
      </w:r>
      <w:r w:rsidR="00D46219" w:rsidRPr="002A2D3D">
        <w:rPr>
          <w:rFonts w:ascii="Times New Roman" w:hAnsi="Times New Roman" w:cs="Times New Roman"/>
          <w:b/>
          <w:i/>
          <w:sz w:val="20"/>
          <w:szCs w:val="20"/>
        </w:rPr>
        <w:t xml:space="preserve">the OFDM symbols in the DwPTS as part of the RU along with a threshold to determine whether the special subframe can be counted as part of a resource unit and rate matching is performed using the available OFDM symbols in the DwPTS. </w:t>
      </w:r>
    </w:p>
    <w:p w14:paraId="50D91A2E" w14:textId="77777777" w:rsidR="00D46219" w:rsidRPr="002A2D3D" w:rsidRDefault="00CA44EE" w:rsidP="002A2D3D">
      <w:pPr>
        <w:jc w:val="both"/>
        <w:rPr>
          <w:rFonts w:ascii="Times New Roman" w:hAnsi="Times New Roman" w:cs="Times New Roman"/>
          <w:b/>
          <w:bCs/>
          <w:i/>
          <w:sz w:val="20"/>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Proposal_5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bCs/>
          <w:i/>
          <w:sz w:val="20"/>
        </w:rPr>
        <w:t xml:space="preserve">Proposal 5: </w:t>
      </w:r>
      <w:r w:rsidR="00D46219" w:rsidRPr="002A2D3D">
        <w:rPr>
          <w:rFonts w:ascii="Times New Roman" w:hAnsi="Times New Roman" w:cs="Times New Roman"/>
          <w:b/>
          <w:bCs/>
          <w:i/>
          <w:sz w:val="20"/>
        </w:rPr>
        <w:t xml:space="preserve">Utilize </w:t>
      </w:r>
      <w:r w:rsidR="00D46219" w:rsidRPr="002A2D3D">
        <w:rPr>
          <w:rFonts w:ascii="Times New Roman" w:hAnsi="Times New Roman" w:cs="Times New Roman"/>
          <w:b/>
          <w:i/>
          <w:sz w:val="20"/>
          <w:szCs w:val="20"/>
        </w:rPr>
        <w:t>the SC-FDM symbols in the UpPTS to repeat in a predetermined manner some of the SC-FDM symbols transmitted in either an immediately succeeding uplink subframe, or in a preceding uplink subframe.</w:t>
      </w:r>
      <w:r w:rsidR="00D46219" w:rsidRPr="002A2D3D">
        <w:rPr>
          <w:rFonts w:ascii="Times New Roman" w:hAnsi="Times New Roman" w:cs="Times New Roman"/>
          <w:sz w:val="20"/>
        </w:rPr>
        <w:t xml:space="preserve"> </w:t>
      </w:r>
    </w:p>
    <w:p w14:paraId="09B0514F" w14:textId="77777777" w:rsidR="00D46219" w:rsidRPr="00727050" w:rsidRDefault="00CA44EE" w:rsidP="009A5691">
      <w:pPr>
        <w:jc w:val="both"/>
        <w:rPr>
          <w:rFonts w:ascii="Times New Roman" w:hAnsi="Times New Roman" w:cs="Times New Roman"/>
          <w:b/>
          <w:i/>
          <w:sz w:val="20"/>
          <w:lang w:val="en-GB"/>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Proposal_6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lang w:val="en-GB"/>
        </w:rPr>
        <w:t>Proposal 6: For NB-IoT TDD, introduce a valid downlink subframe bit map over 10ms or 40ms for inband and 10ms for standalone/guardband.</w:t>
      </w:r>
    </w:p>
    <w:p w14:paraId="3D9A4464" w14:textId="77777777" w:rsidR="00D46219" w:rsidRPr="00727050" w:rsidRDefault="00CA44EE" w:rsidP="009F0262">
      <w:pPr>
        <w:jc w:val="both"/>
        <w:rPr>
          <w:rFonts w:ascii="Times New Roman" w:hAnsi="Times New Roman" w:cs="Times New Roman"/>
          <w:b/>
          <w:i/>
          <w:sz w:val="20"/>
          <w:szCs w:val="20"/>
          <w:lang w:val="en-GB"/>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Proposal_7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 xml:space="preserve">Proposal 7: For NB-IoT TDD, do not introduce a valid uplink subframe bit map for all deployment modes. </w:t>
      </w:r>
    </w:p>
    <w:p w14:paraId="0BFF56F0" w14:textId="77777777" w:rsidR="00D46219" w:rsidRPr="00727050" w:rsidRDefault="00CA44EE" w:rsidP="002A2D3D">
      <w:pPr>
        <w:jc w:val="both"/>
        <w:rPr>
          <w:rFonts w:ascii="Times New Roman" w:hAnsi="Times New Roman" w:cs="Times New Roman"/>
          <w:sz w:val="20"/>
          <w:szCs w:val="20"/>
          <w:lang w:val="en-GB"/>
        </w:rPr>
      </w:pPr>
      <w:r>
        <w:rPr>
          <w:rFonts w:ascii="Times New Roman" w:hAnsi="Times New Roman"/>
          <w:b/>
          <w:i/>
          <w:sz w:val="20"/>
          <w:szCs w:val="20"/>
        </w:rPr>
        <w:fldChar w:fldCharType="end"/>
      </w:r>
      <w:r w:rsidR="00A51F2A">
        <w:t xml:space="preserve"> </w:t>
      </w:r>
      <w:r>
        <w:rPr>
          <w:rFonts w:ascii="Times New Roman" w:hAnsi="Times New Roman"/>
          <w:b/>
          <w:i/>
          <w:sz w:val="20"/>
          <w:szCs w:val="20"/>
        </w:rPr>
        <w:fldChar w:fldCharType="begin"/>
      </w:r>
      <w:r>
        <w:rPr>
          <w:rFonts w:ascii="Times New Roman" w:hAnsi="Times New Roman"/>
          <w:b/>
          <w:i/>
          <w:sz w:val="20"/>
          <w:szCs w:val="20"/>
        </w:rPr>
        <w:instrText xml:space="preserve"> REF Proposal_8 \h </w:instrText>
      </w:r>
      <w:r>
        <w:rPr>
          <w:rFonts w:ascii="Times New Roman" w:hAnsi="Times New Roman"/>
          <w:b/>
          <w:i/>
          <w:sz w:val="20"/>
          <w:szCs w:val="20"/>
        </w:rPr>
      </w:r>
      <w:r>
        <w:rPr>
          <w:rFonts w:ascii="Times New Roman" w:hAnsi="Times New Roman"/>
          <w:b/>
          <w:i/>
          <w:sz w:val="20"/>
          <w:szCs w:val="20"/>
        </w:rPr>
        <w:fldChar w:fldCharType="separate"/>
      </w:r>
      <w:r w:rsidR="00D46219" w:rsidRPr="00727050">
        <w:rPr>
          <w:rFonts w:ascii="Times New Roman" w:hAnsi="Times New Roman" w:cs="Times New Roman"/>
          <w:b/>
          <w:i/>
          <w:sz w:val="20"/>
          <w:szCs w:val="20"/>
          <w:lang w:val="en-GB"/>
        </w:rPr>
        <w:t>P</w:t>
      </w:r>
      <w:r w:rsidR="00D46219">
        <w:rPr>
          <w:rFonts w:ascii="Times New Roman" w:hAnsi="Times New Roman" w:cs="Times New Roman"/>
          <w:b/>
          <w:i/>
          <w:sz w:val="20"/>
          <w:szCs w:val="20"/>
          <w:lang w:val="en-GB"/>
        </w:rPr>
        <w:t>roposal 8</w:t>
      </w:r>
      <w:r w:rsidR="00D46219" w:rsidRPr="00727050">
        <w:rPr>
          <w:rFonts w:ascii="Times New Roman" w:hAnsi="Times New Roman" w:cs="Times New Roman"/>
          <w:b/>
          <w:i/>
          <w:sz w:val="20"/>
          <w:szCs w:val="20"/>
          <w:lang w:val="en-GB"/>
        </w:rPr>
        <w:t>: Symbol level bitmaps on special subframes are not needed.</w:t>
      </w:r>
    </w:p>
    <w:p w14:paraId="6B8DC7EC" w14:textId="77777777" w:rsidR="00D46219" w:rsidRPr="002A2D3D" w:rsidRDefault="00CA44EE" w:rsidP="002A2D3D">
      <w:pPr>
        <w:rPr>
          <w:rFonts w:ascii="Times New Roman" w:hAnsi="Times New Roman" w:cs="Times New Roman"/>
          <w:b/>
          <w:i/>
          <w:sz w:val="20"/>
        </w:rPr>
      </w:pPr>
      <w:r>
        <w:rPr>
          <w:rFonts w:ascii="Times New Roman" w:hAnsi="Times New Roman"/>
          <w:b/>
          <w:i/>
          <w:sz w:val="20"/>
          <w:szCs w:val="20"/>
        </w:rPr>
        <w:fldChar w:fldCharType="end"/>
      </w:r>
      <w:r w:rsidR="00A51F2A">
        <w:rPr>
          <w:rFonts w:ascii="Times New Roman" w:hAnsi="Times New Roman"/>
          <w:b/>
          <w:i/>
          <w:sz w:val="20"/>
          <w:szCs w:val="20"/>
        </w:rPr>
        <w:t xml:space="preserve"> </w:t>
      </w:r>
      <w:r>
        <w:rPr>
          <w:rFonts w:ascii="Times New Roman" w:hAnsi="Times New Roman"/>
          <w:b/>
          <w:i/>
          <w:sz w:val="20"/>
          <w:szCs w:val="20"/>
        </w:rPr>
        <w:fldChar w:fldCharType="begin"/>
      </w:r>
      <w:r>
        <w:rPr>
          <w:rFonts w:ascii="Times New Roman" w:hAnsi="Times New Roman"/>
          <w:b/>
          <w:i/>
          <w:sz w:val="20"/>
          <w:szCs w:val="20"/>
        </w:rPr>
        <w:instrText xml:space="preserve"> REF Proposal_9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i/>
          <w:sz w:val="20"/>
        </w:rPr>
        <w:t xml:space="preserve">Proposal 9: </w:t>
      </w:r>
      <w:r w:rsidR="00D46219" w:rsidRPr="002A2D3D">
        <w:rPr>
          <w:rFonts w:ascii="Times New Roman" w:hAnsi="Times New Roman" w:cs="Times New Roman"/>
          <w:b/>
          <w:i/>
          <w:sz w:val="20"/>
        </w:rPr>
        <w:t xml:space="preserve">Supporting two HARQ processes should be an optional UE capability in NB-IoT TDD system. </w:t>
      </w:r>
    </w:p>
    <w:p w14:paraId="3F4BA244" w14:textId="77777777" w:rsidR="00D46219" w:rsidRPr="002A2D3D" w:rsidRDefault="00CA44EE" w:rsidP="002A2D3D">
      <w:pPr>
        <w:rPr>
          <w:rFonts w:ascii="Times New Roman" w:hAnsi="Times New Roman"/>
          <w:b/>
          <w:bCs/>
          <w:i/>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Proposal_10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i/>
          <w:sz w:val="20"/>
        </w:rPr>
        <w:t xml:space="preserve">Proposal 10: </w:t>
      </w:r>
      <w:r w:rsidR="00D46219" w:rsidRPr="002A2D3D">
        <w:rPr>
          <w:rFonts w:ascii="Times New Roman" w:hAnsi="Times New Roman" w:cs="Times New Roman"/>
          <w:b/>
          <w:i/>
          <w:sz w:val="20"/>
        </w:rPr>
        <w:t>To further improve the throughput, A UE should be allowed to have UL transmission while there is an DL reception, and vice versa.</w:t>
      </w:r>
    </w:p>
    <w:p w14:paraId="42777702" w14:textId="77777777" w:rsidR="00D46219" w:rsidRPr="002A2D3D" w:rsidRDefault="00CA44EE" w:rsidP="002A2D3D">
      <w:pPr>
        <w:rPr>
          <w:rFonts w:ascii="Times New Roman" w:hAnsi="Times New Roman" w:cs="Times New Roman"/>
          <w:b/>
          <w:i/>
          <w:sz w:val="20"/>
        </w:rPr>
      </w:pPr>
      <w:r>
        <w:rPr>
          <w:rFonts w:ascii="Times New Roman" w:hAnsi="Times New Roman"/>
          <w:b/>
          <w:i/>
          <w:sz w:val="20"/>
          <w:szCs w:val="20"/>
        </w:rPr>
        <w:fldChar w:fldCharType="end"/>
      </w:r>
      <w:r>
        <w:rPr>
          <w:rFonts w:ascii="Times New Roman" w:hAnsi="Times New Roman"/>
          <w:b/>
          <w:i/>
          <w:sz w:val="20"/>
          <w:szCs w:val="20"/>
        </w:rPr>
        <w:fldChar w:fldCharType="begin"/>
      </w:r>
      <w:r>
        <w:rPr>
          <w:rFonts w:ascii="Times New Roman" w:hAnsi="Times New Roman"/>
          <w:b/>
          <w:i/>
          <w:sz w:val="20"/>
          <w:szCs w:val="20"/>
        </w:rPr>
        <w:instrText xml:space="preserve"> REF Proposal_11 \h </w:instrText>
      </w:r>
      <w:r>
        <w:rPr>
          <w:rFonts w:ascii="Times New Roman" w:hAnsi="Times New Roman"/>
          <w:b/>
          <w:i/>
          <w:sz w:val="20"/>
          <w:szCs w:val="20"/>
        </w:rPr>
      </w:r>
      <w:r>
        <w:rPr>
          <w:rFonts w:ascii="Times New Roman" w:hAnsi="Times New Roman"/>
          <w:b/>
          <w:i/>
          <w:sz w:val="20"/>
          <w:szCs w:val="20"/>
        </w:rPr>
        <w:fldChar w:fldCharType="separate"/>
      </w:r>
      <w:r w:rsidR="00D46219">
        <w:rPr>
          <w:rFonts w:ascii="Times New Roman" w:hAnsi="Times New Roman" w:cs="Times New Roman"/>
          <w:b/>
          <w:i/>
          <w:sz w:val="20"/>
        </w:rPr>
        <w:t xml:space="preserve">Proposal 11: </w:t>
      </w:r>
      <w:r w:rsidR="00D46219" w:rsidRPr="002A2D3D">
        <w:rPr>
          <w:rFonts w:ascii="Times New Roman" w:hAnsi="Times New Roman" w:cs="Times New Roman"/>
          <w:b/>
          <w:i/>
          <w:sz w:val="20"/>
        </w:rPr>
        <w:t>Cross carrier scheduling should be supported in NB-IoT TDD.</w:t>
      </w:r>
    </w:p>
    <w:p w14:paraId="19348A1A" w14:textId="6A4102B8" w:rsidR="00CA44EE" w:rsidRPr="004B19F7" w:rsidRDefault="00CA44EE" w:rsidP="00CA44EE">
      <w:pPr>
        <w:spacing w:after="0"/>
        <w:jc w:val="both"/>
        <w:rPr>
          <w:rFonts w:ascii="Times New Roman" w:hAnsi="Times New Roman"/>
          <w:b/>
          <w:i/>
          <w:sz w:val="20"/>
          <w:szCs w:val="20"/>
        </w:rPr>
      </w:pPr>
      <w:r>
        <w:rPr>
          <w:rFonts w:ascii="Times New Roman" w:hAnsi="Times New Roman"/>
          <w:b/>
          <w:i/>
          <w:sz w:val="20"/>
          <w:szCs w:val="20"/>
        </w:rPr>
        <w:fldChar w:fldCharType="end"/>
      </w:r>
    </w:p>
    <w:p w14:paraId="031D627F" w14:textId="77777777" w:rsidR="00BA0384" w:rsidRPr="00AD5810" w:rsidRDefault="00BA0384" w:rsidP="00BA0384">
      <w:pPr>
        <w:pStyle w:val="Heading1"/>
      </w:pPr>
      <w:r w:rsidRPr="00AD5810">
        <w:lastRenderedPageBreak/>
        <w:t>References</w:t>
      </w:r>
    </w:p>
    <w:p w14:paraId="195858FD" w14:textId="77777777" w:rsidR="00BA0384" w:rsidRPr="004B19F7" w:rsidRDefault="00BA0384" w:rsidP="00BA0384">
      <w:pPr>
        <w:pStyle w:val="Reference"/>
        <w:rPr>
          <w:rFonts w:ascii="Times New Roman" w:hAnsi="Times New Roman" w:cs="Times New Roman"/>
          <w:sz w:val="20"/>
          <w:szCs w:val="20"/>
        </w:rPr>
      </w:pPr>
      <w:r w:rsidRPr="004B19F7">
        <w:rPr>
          <w:rFonts w:ascii="Times New Roman" w:hAnsi="Times New Roman" w:cs="Times New Roman"/>
          <w:sz w:val="20"/>
          <w:szCs w:val="20"/>
        </w:rPr>
        <w:t>RP-170732, “New WI on Further NB-IoT enhancements”, RAN #75.</w:t>
      </w:r>
    </w:p>
    <w:p w14:paraId="6D5A93E3" w14:textId="1961FA64" w:rsidR="00BA0384" w:rsidRPr="004B19F7" w:rsidRDefault="00BA0384" w:rsidP="00BA0384">
      <w:pPr>
        <w:pStyle w:val="Reference"/>
        <w:rPr>
          <w:rFonts w:ascii="Times New Roman" w:hAnsi="Times New Roman" w:cs="Times New Roman"/>
          <w:sz w:val="20"/>
          <w:szCs w:val="20"/>
        </w:rPr>
      </w:pPr>
      <w:r w:rsidRPr="004B19F7">
        <w:rPr>
          <w:rFonts w:ascii="Times New Roman" w:hAnsi="Times New Roman" w:cs="Times New Roman"/>
          <w:sz w:val="20"/>
          <w:szCs w:val="20"/>
        </w:rPr>
        <w:t>RP-171440, “Way Forward on Prioritization of NB-IoT”, RAN #76.</w:t>
      </w:r>
    </w:p>
    <w:p w14:paraId="1F7E3E3F" w14:textId="77777777" w:rsidR="00810A1E" w:rsidRPr="004B19F7" w:rsidRDefault="00810A1E" w:rsidP="00810A1E">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4B19F7">
        <w:rPr>
          <w:rFonts w:ascii="Times New Roman" w:hAnsi="Times New Roman" w:cs="Times New Roman"/>
          <w:sz w:val="20"/>
          <w:szCs w:val="20"/>
        </w:rPr>
        <w:t>RP-172063, “</w:t>
      </w:r>
      <w:r w:rsidRPr="004B19F7">
        <w:rPr>
          <w:rFonts w:ascii="Times New Roman" w:eastAsia="Batang" w:hAnsi="Times New Roman" w:cs="Times New Roman"/>
          <w:sz w:val="20"/>
          <w:szCs w:val="20"/>
        </w:rPr>
        <w:t>Revised WID on Further NB-IoT enhancements”, RAN 77.</w:t>
      </w:r>
    </w:p>
    <w:p w14:paraId="12747242" w14:textId="67447C5C" w:rsidR="00810A1E" w:rsidRPr="004B19F7" w:rsidRDefault="00810A1E" w:rsidP="00BA0384">
      <w:pPr>
        <w:pStyle w:val="Reference"/>
        <w:rPr>
          <w:rFonts w:ascii="Times New Roman" w:hAnsi="Times New Roman" w:cs="Times New Roman"/>
          <w:sz w:val="20"/>
          <w:szCs w:val="20"/>
        </w:rPr>
      </w:pPr>
      <w:r w:rsidRPr="001F7F88">
        <w:rPr>
          <w:rFonts w:ascii="Times New Roman" w:hAnsi="Times New Roman" w:cs="Times New Roman"/>
          <w:sz w:val="20"/>
          <w:szCs w:val="20"/>
        </w:rPr>
        <w:t>R1-</w:t>
      </w:r>
      <w:r w:rsidR="001A1BB7" w:rsidRPr="001F7F88">
        <w:rPr>
          <w:rFonts w:ascii="Times New Roman" w:hAnsi="Times New Roman" w:cs="Times New Roman"/>
          <w:sz w:val="20"/>
          <w:szCs w:val="20"/>
        </w:rPr>
        <w:t>17</w:t>
      </w:r>
      <w:r w:rsidR="001F7F88" w:rsidRPr="001F7F88">
        <w:rPr>
          <w:rFonts w:ascii="Times New Roman" w:hAnsi="Times New Roman" w:cs="Times New Roman"/>
          <w:sz w:val="20"/>
          <w:szCs w:val="20"/>
        </w:rPr>
        <w:t>19362,</w:t>
      </w:r>
      <w:r w:rsidR="001F7F88">
        <w:rPr>
          <w:rFonts w:ascii="Times New Roman" w:hAnsi="Times New Roman" w:cs="Times New Roman"/>
          <w:sz w:val="20"/>
          <w:szCs w:val="20"/>
        </w:rPr>
        <w:t xml:space="preserve"> “</w:t>
      </w:r>
      <w:r w:rsidRPr="004B19F7">
        <w:rPr>
          <w:rFonts w:ascii="Times New Roman" w:hAnsi="Times New Roman" w:cs="Times New Roman"/>
          <w:sz w:val="20"/>
          <w:szCs w:val="20"/>
        </w:rPr>
        <w:t xml:space="preserve">UL </w:t>
      </w:r>
      <w:r w:rsidR="001F7F88">
        <w:rPr>
          <w:rFonts w:ascii="Times New Roman" w:hAnsi="Times New Roman" w:cs="Times New Roman"/>
          <w:sz w:val="20"/>
          <w:szCs w:val="20"/>
        </w:rPr>
        <w:t>aspects of TDD for NB-IoT</w:t>
      </w:r>
      <w:r w:rsidRPr="004B19F7">
        <w:rPr>
          <w:rFonts w:ascii="Times New Roman" w:hAnsi="Times New Roman" w:cs="Times New Roman"/>
          <w:sz w:val="20"/>
          <w:szCs w:val="20"/>
        </w:rPr>
        <w:t>,” RAN1 #9</w:t>
      </w:r>
      <w:r w:rsidR="001453CC" w:rsidRPr="004B19F7">
        <w:rPr>
          <w:rFonts w:ascii="Times New Roman" w:hAnsi="Times New Roman" w:cs="Times New Roman"/>
          <w:sz w:val="20"/>
          <w:szCs w:val="20"/>
        </w:rPr>
        <w:t>1</w:t>
      </w:r>
      <w:r w:rsidRPr="004B19F7">
        <w:rPr>
          <w:rFonts w:ascii="Times New Roman" w:hAnsi="Times New Roman" w:cs="Times New Roman"/>
          <w:sz w:val="20"/>
          <w:szCs w:val="20"/>
        </w:rPr>
        <w:t>, Ericsson.</w:t>
      </w:r>
    </w:p>
    <w:p w14:paraId="1227F311" w14:textId="1AC9BA90" w:rsidR="00810A1E" w:rsidRDefault="00810A1E" w:rsidP="00BA0384">
      <w:pPr>
        <w:pStyle w:val="Reference"/>
        <w:rPr>
          <w:rFonts w:ascii="Times New Roman" w:hAnsi="Times New Roman" w:cs="Times New Roman"/>
          <w:sz w:val="20"/>
          <w:szCs w:val="20"/>
        </w:rPr>
      </w:pPr>
      <w:r w:rsidRPr="001F7F88">
        <w:rPr>
          <w:rFonts w:ascii="Times New Roman" w:hAnsi="Times New Roman" w:cs="Times New Roman"/>
          <w:sz w:val="20"/>
          <w:szCs w:val="20"/>
        </w:rPr>
        <w:t>R1-</w:t>
      </w:r>
      <w:r w:rsidR="001A1BB7" w:rsidRPr="001F7F88">
        <w:rPr>
          <w:rFonts w:ascii="Times New Roman" w:hAnsi="Times New Roman" w:cs="Times New Roman"/>
          <w:sz w:val="20"/>
          <w:szCs w:val="20"/>
        </w:rPr>
        <w:t>17</w:t>
      </w:r>
      <w:r w:rsidR="001F7F88" w:rsidRPr="001F7F88">
        <w:rPr>
          <w:rFonts w:ascii="Times New Roman" w:hAnsi="Times New Roman" w:cs="Times New Roman"/>
          <w:sz w:val="20"/>
          <w:szCs w:val="20"/>
        </w:rPr>
        <w:t>19361,</w:t>
      </w:r>
      <w:r w:rsidR="001F7F88">
        <w:rPr>
          <w:rFonts w:ascii="Times New Roman" w:hAnsi="Times New Roman" w:cs="Times New Roman"/>
          <w:sz w:val="20"/>
          <w:szCs w:val="20"/>
        </w:rPr>
        <w:t xml:space="preserve"> “</w:t>
      </w:r>
      <w:r w:rsidRPr="004B19F7">
        <w:rPr>
          <w:rFonts w:ascii="Times New Roman" w:hAnsi="Times New Roman" w:cs="Times New Roman"/>
          <w:sz w:val="20"/>
          <w:szCs w:val="20"/>
        </w:rPr>
        <w:t>DL</w:t>
      </w:r>
      <w:r w:rsidR="001F7F88">
        <w:rPr>
          <w:rFonts w:ascii="Times New Roman" w:hAnsi="Times New Roman" w:cs="Times New Roman"/>
          <w:sz w:val="20"/>
          <w:szCs w:val="20"/>
        </w:rPr>
        <w:t xml:space="preserve"> aspects</w:t>
      </w:r>
      <w:r w:rsidRPr="004B19F7">
        <w:rPr>
          <w:rFonts w:ascii="Times New Roman" w:hAnsi="Times New Roman" w:cs="Times New Roman"/>
          <w:sz w:val="20"/>
          <w:szCs w:val="20"/>
        </w:rPr>
        <w:t xml:space="preserve"> of </w:t>
      </w:r>
      <w:r w:rsidR="001F7F88">
        <w:rPr>
          <w:rFonts w:ascii="Times New Roman" w:hAnsi="Times New Roman" w:cs="Times New Roman"/>
          <w:sz w:val="20"/>
          <w:szCs w:val="20"/>
        </w:rPr>
        <w:t>TDD for NB-IoT</w:t>
      </w:r>
      <w:r w:rsidRPr="004B19F7">
        <w:rPr>
          <w:rFonts w:ascii="Times New Roman" w:hAnsi="Times New Roman" w:cs="Times New Roman"/>
          <w:sz w:val="20"/>
          <w:szCs w:val="20"/>
        </w:rPr>
        <w:t>,”</w:t>
      </w:r>
      <w:r w:rsidR="00974D28" w:rsidRPr="004B19F7">
        <w:rPr>
          <w:rFonts w:ascii="Times New Roman" w:hAnsi="Times New Roman" w:cs="Times New Roman"/>
          <w:sz w:val="20"/>
          <w:szCs w:val="20"/>
        </w:rPr>
        <w:t xml:space="preserve"> </w:t>
      </w:r>
      <w:r w:rsidRPr="004B19F7">
        <w:rPr>
          <w:rFonts w:ascii="Times New Roman" w:hAnsi="Times New Roman" w:cs="Times New Roman"/>
          <w:sz w:val="20"/>
          <w:szCs w:val="20"/>
        </w:rPr>
        <w:t>RAN1 #9</w:t>
      </w:r>
      <w:r w:rsidR="001453CC" w:rsidRPr="004B19F7">
        <w:rPr>
          <w:rFonts w:ascii="Times New Roman" w:hAnsi="Times New Roman" w:cs="Times New Roman"/>
          <w:sz w:val="20"/>
          <w:szCs w:val="20"/>
        </w:rPr>
        <w:t>1</w:t>
      </w:r>
      <w:r w:rsidRPr="004B19F7">
        <w:rPr>
          <w:rFonts w:ascii="Times New Roman" w:hAnsi="Times New Roman" w:cs="Times New Roman"/>
          <w:sz w:val="20"/>
          <w:szCs w:val="20"/>
        </w:rPr>
        <w:t>, Ericsson.</w:t>
      </w:r>
    </w:p>
    <w:p w14:paraId="51B6521C" w14:textId="77777777" w:rsidR="00F34AB6" w:rsidRPr="00F34AB6" w:rsidRDefault="00F34AB6" w:rsidP="00F34AB6">
      <w:pPr>
        <w:pStyle w:val="Reference"/>
        <w:rPr>
          <w:rFonts w:ascii="Times New Roman" w:hAnsi="Times New Roman" w:cs="Times New Roman"/>
          <w:sz w:val="20"/>
          <w:szCs w:val="20"/>
        </w:rPr>
      </w:pPr>
      <w:r w:rsidRPr="00F34AB6">
        <w:rPr>
          <w:rFonts w:ascii="Times New Roman" w:hAnsi="Times New Roman" w:cs="Times New Roman"/>
          <w:sz w:val="20"/>
          <w:szCs w:val="20"/>
        </w:rPr>
        <w:t>Final Chairman’s Notes RAN1 #90, 3GPP.</w:t>
      </w:r>
    </w:p>
    <w:p w14:paraId="16B1612C" w14:textId="77777777" w:rsidR="00810A1E" w:rsidRPr="004B19F7" w:rsidRDefault="00810A1E" w:rsidP="00810A1E">
      <w:pPr>
        <w:pStyle w:val="Reference"/>
        <w:rPr>
          <w:rFonts w:ascii="Times New Roman" w:hAnsi="Times New Roman" w:cs="Times New Roman"/>
          <w:sz w:val="20"/>
          <w:szCs w:val="20"/>
        </w:rPr>
      </w:pPr>
      <w:r w:rsidRPr="004B19F7">
        <w:rPr>
          <w:rFonts w:ascii="Times New Roman" w:hAnsi="Times New Roman" w:cs="Times New Roman"/>
          <w:sz w:val="20"/>
          <w:szCs w:val="20"/>
        </w:rPr>
        <w:t>3GPP TS 36.211, “Physical channels and modulation”, v14.2.0.</w:t>
      </w:r>
    </w:p>
    <w:p w14:paraId="15A272FD" w14:textId="596E71E5" w:rsidR="00F34AB6" w:rsidRDefault="00F34AB6" w:rsidP="00374871">
      <w:pPr>
        <w:pStyle w:val="Reference"/>
        <w:rPr>
          <w:rFonts w:ascii="Times New Roman" w:hAnsi="Times New Roman" w:cs="Times New Roman"/>
          <w:sz w:val="20"/>
          <w:szCs w:val="20"/>
        </w:rPr>
      </w:pPr>
      <w:bookmarkStart w:id="29" w:name="_Ref494448241"/>
      <w:r w:rsidRPr="00F34AB6">
        <w:rPr>
          <w:rFonts w:ascii="Times New Roman" w:hAnsi="Times New Roman" w:cs="Times New Roman"/>
          <w:sz w:val="20"/>
          <w:lang w:val="en-GB"/>
        </w:rPr>
        <w:t>R1-1719101, “WF</w:t>
      </w:r>
      <w:r>
        <w:rPr>
          <w:rFonts w:ascii="Times New Roman" w:hAnsi="Times New Roman" w:cs="Times New Roman"/>
          <w:sz w:val="20"/>
          <w:lang w:val="en-GB"/>
        </w:rPr>
        <w:t xml:space="preserve"> on TDD configurations,” LG Electronics, RAN1 #90bis.</w:t>
      </w:r>
    </w:p>
    <w:p w14:paraId="03AD355D" w14:textId="6BBB9079" w:rsidR="001A1BB7" w:rsidRPr="004B19F7" w:rsidRDefault="001A1BB7" w:rsidP="00374871">
      <w:pPr>
        <w:pStyle w:val="Reference"/>
        <w:rPr>
          <w:rFonts w:ascii="Times New Roman" w:hAnsi="Times New Roman" w:cs="Times New Roman"/>
          <w:sz w:val="20"/>
          <w:szCs w:val="20"/>
        </w:rPr>
      </w:pPr>
      <w:r w:rsidRPr="004B19F7">
        <w:rPr>
          <w:rFonts w:ascii="Times New Roman" w:hAnsi="Times New Roman" w:cs="Times New Roman"/>
          <w:sz w:val="20"/>
          <w:szCs w:val="20"/>
        </w:rPr>
        <w:t>3GPP TR 45.820, “Cellular system support for ultra-low complexity and low throughput Internet of Things (CIoT),” version 13.1.0.</w:t>
      </w:r>
      <w:bookmarkEnd w:id="29"/>
    </w:p>
    <w:bookmarkEnd w:id="0"/>
    <w:p w14:paraId="15E00317" w14:textId="77777777" w:rsidR="003805F5" w:rsidRPr="004B19F7" w:rsidRDefault="003805F5">
      <w:pPr>
        <w:pStyle w:val="Reference"/>
        <w:rPr>
          <w:rFonts w:ascii="Times New Roman" w:hAnsi="Times New Roman" w:cs="Times New Roman"/>
          <w:sz w:val="20"/>
          <w:szCs w:val="20"/>
        </w:rPr>
      </w:pPr>
    </w:p>
    <w:sectPr w:rsidR="003805F5" w:rsidRPr="004B19F7" w:rsidSect="00EF7F65">
      <w:headerReference w:type="even" r:id="rId39"/>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9DF53" w14:textId="77777777" w:rsidR="0002285C" w:rsidRDefault="0002285C">
      <w:r>
        <w:separator/>
      </w:r>
    </w:p>
  </w:endnote>
  <w:endnote w:type="continuationSeparator" w:id="0">
    <w:p w14:paraId="2857CC94" w14:textId="77777777" w:rsidR="0002285C" w:rsidRDefault="0002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A15A" w14:textId="1C27AA6F" w:rsidR="0002285C" w:rsidRDefault="000228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6219">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6219">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D110C" w14:textId="77777777" w:rsidR="0002285C" w:rsidRDefault="0002285C">
      <w:r>
        <w:separator/>
      </w:r>
    </w:p>
  </w:footnote>
  <w:footnote w:type="continuationSeparator" w:id="0">
    <w:p w14:paraId="2B4AAA22" w14:textId="77777777" w:rsidR="0002285C" w:rsidRDefault="00022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7B60" w14:textId="77777777" w:rsidR="0002285C" w:rsidRDefault="000228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267"/>
    <w:multiLevelType w:val="multilevel"/>
    <w:tmpl w:val="D4B2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7A266D"/>
    <w:multiLevelType w:val="hybridMultilevel"/>
    <w:tmpl w:val="9B1A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070BC"/>
    <w:multiLevelType w:val="hybridMultilevel"/>
    <w:tmpl w:val="7762491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C4C84"/>
    <w:multiLevelType w:val="hybridMultilevel"/>
    <w:tmpl w:val="6802A1B0"/>
    <w:lvl w:ilvl="0" w:tplc="5E2C4526">
      <w:start w:val="1"/>
      <w:numFmt w:val="bullet"/>
      <w:lvlText w:val="•"/>
      <w:lvlJc w:val="left"/>
      <w:pPr>
        <w:tabs>
          <w:tab w:val="num" w:pos="720"/>
        </w:tabs>
        <w:ind w:left="720" w:hanging="360"/>
      </w:pPr>
      <w:rPr>
        <w:rFonts w:ascii="Arial" w:hAnsi="Arial" w:hint="default"/>
      </w:rPr>
    </w:lvl>
    <w:lvl w:ilvl="1" w:tplc="5A200052">
      <w:numFmt w:val="bullet"/>
      <w:lvlText w:val="•"/>
      <w:lvlJc w:val="left"/>
      <w:pPr>
        <w:tabs>
          <w:tab w:val="num" w:pos="1440"/>
        </w:tabs>
        <w:ind w:left="1440" w:hanging="360"/>
      </w:pPr>
      <w:rPr>
        <w:rFonts w:ascii="Arial" w:hAnsi="Arial" w:hint="default"/>
      </w:rPr>
    </w:lvl>
    <w:lvl w:ilvl="2" w:tplc="B7D27202" w:tentative="1">
      <w:start w:val="1"/>
      <w:numFmt w:val="bullet"/>
      <w:lvlText w:val="•"/>
      <w:lvlJc w:val="left"/>
      <w:pPr>
        <w:tabs>
          <w:tab w:val="num" w:pos="2160"/>
        </w:tabs>
        <w:ind w:left="2160" w:hanging="360"/>
      </w:pPr>
      <w:rPr>
        <w:rFonts w:ascii="Arial" w:hAnsi="Arial" w:hint="default"/>
      </w:rPr>
    </w:lvl>
    <w:lvl w:ilvl="3" w:tplc="0FA476F0" w:tentative="1">
      <w:start w:val="1"/>
      <w:numFmt w:val="bullet"/>
      <w:lvlText w:val="•"/>
      <w:lvlJc w:val="left"/>
      <w:pPr>
        <w:tabs>
          <w:tab w:val="num" w:pos="2880"/>
        </w:tabs>
        <w:ind w:left="2880" w:hanging="360"/>
      </w:pPr>
      <w:rPr>
        <w:rFonts w:ascii="Arial" w:hAnsi="Arial" w:hint="default"/>
      </w:rPr>
    </w:lvl>
    <w:lvl w:ilvl="4" w:tplc="4FBA1B3C" w:tentative="1">
      <w:start w:val="1"/>
      <w:numFmt w:val="bullet"/>
      <w:lvlText w:val="•"/>
      <w:lvlJc w:val="left"/>
      <w:pPr>
        <w:tabs>
          <w:tab w:val="num" w:pos="3600"/>
        </w:tabs>
        <w:ind w:left="3600" w:hanging="360"/>
      </w:pPr>
      <w:rPr>
        <w:rFonts w:ascii="Arial" w:hAnsi="Arial" w:hint="default"/>
      </w:rPr>
    </w:lvl>
    <w:lvl w:ilvl="5" w:tplc="2278DEDC" w:tentative="1">
      <w:start w:val="1"/>
      <w:numFmt w:val="bullet"/>
      <w:lvlText w:val="•"/>
      <w:lvlJc w:val="left"/>
      <w:pPr>
        <w:tabs>
          <w:tab w:val="num" w:pos="4320"/>
        </w:tabs>
        <w:ind w:left="4320" w:hanging="360"/>
      </w:pPr>
      <w:rPr>
        <w:rFonts w:ascii="Arial" w:hAnsi="Arial" w:hint="default"/>
      </w:rPr>
    </w:lvl>
    <w:lvl w:ilvl="6" w:tplc="29F048C2" w:tentative="1">
      <w:start w:val="1"/>
      <w:numFmt w:val="bullet"/>
      <w:lvlText w:val="•"/>
      <w:lvlJc w:val="left"/>
      <w:pPr>
        <w:tabs>
          <w:tab w:val="num" w:pos="5040"/>
        </w:tabs>
        <w:ind w:left="5040" w:hanging="360"/>
      </w:pPr>
      <w:rPr>
        <w:rFonts w:ascii="Arial" w:hAnsi="Arial" w:hint="default"/>
      </w:rPr>
    </w:lvl>
    <w:lvl w:ilvl="7" w:tplc="96525426" w:tentative="1">
      <w:start w:val="1"/>
      <w:numFmt w:val="bullet"/>
      <w:lvlText w:val="•"/>
      <w:lvlJc w:val="left"/>
      <w:pPr>
        <w:tabs>
          <w:tab w:val="num" w:pos="5760"/>
        </w:tabs>
        <w:ind w:left="5760" w:hanging="360"/>
      </w:pPr>
      <w:rPr>
        <w:rFonts w:ascii="Arial" w:hAnsi="Arial" w:hint="default"/>
      </w:rPr>
    </w:lvl>
    <w:lvl w:ilvl="8" w:tplc="B9B25C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22362E"/>
    <w:multiLevelType w:val="hybridMultilevel"/>
    <w:tmpl w:val="9BFE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854ECD"/>
    <w:multiLevelType w:val="hybridMultilevel"/>
    <w:tmpl w:val="91805CA8"/>
    <w:lvl w:ilvl="0" w:tplc="9E768DF8">
      <w:start w:val="1"/>
      <w:numFmt w:val="decimal"/>
      <w:lvlText w:val="Proposal %1."/>
      <w:lvlJc w:val="left"/>
      <w:pPr>
        <w:ind w:left="720" w:hanging="360"/>
      </w:pPr>
      <w:rPr>
        <w:rFonts w:hint="default"/>
      </w:rPr>
    </w:lvl>
    <w:lvl w:ilvl="1" w:tplc="04090001">
      <w:start w:val="1"/>
      <w:numFmt w:val="bullet"/>
      <w:lvlText w:val=""/>
      <w:lvlJc w:val="left"/>
      <w:pPr>
        <w:ind w:left="1650" w:hanging="57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611508"/>
    <w:multiLevelType w:val="hybridMultilevel"/>
    <w:tmpl w:val="1AB88F6C"/>
    <w:lvl w:ilvl="0" w:tplc="AF9C8C0E">
      <w:start w:val="1"/>
      <w:numFmt w:val="decimalZero"/>
      <w:pStyle w:val="NumberedParagraph"/>
      <w:lvlText w:val="[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716F01CA"/>
    <w:multiLevelType w:val="hybridMultilevel"/>
    <w:tmpl w:val="C4A45C0C"/>
    <w:lvl w:ilvl="0" w:tplc="9E768DF8">
      <w:start w:val="1"/>
      <w:numFmt w:val="decimal"/>
      <w:lvlText w:val="Proposal %1."/>
      <w:lvlJc w:val="left"/>
      <w:pPr>
        <w:ind w:left="720" w:hanging="360"/>
      </w:pPr>
      <w:rPr>
        <w:rFonts w:hint="default"/>
      </w:rPr>
    </w:lvl>
    <w:lvl w:ilvl="1" w:tplc="CFF6A622">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8"/>
  </w:num>
  <w:num w:numId="4">
    <w:abstractNumId w:val="9"/>
  </w:num>
  <w:num w:numId="5">
    <w:abstractNumId w:val="5"/>
  </w:num>
  <w:num w:numId="6">
    <w:abstractNumId w:val="12"/>
  </w:num>
  <w:num w:numId="7">
    <w:abstractNumId w:val="16"/>
  </w:num>
  <w:num w:numId="8">
    <w:abstractNumId w:val="6"/>
  </w:num>
  <w:num w:numId="9">
    <w:abstractNumId w:val="18"/>
  </w:num>
  <w:num w:numId="10">
    <w:abstractNumId w:val="3"/>
  </w:num>
  <w:num w:numId="11">
    <w:abstractNumId w:val="19"/>
  </w:num>
  <w:num w:numId="12">
    <w:abstractNumId w:val="15"/>
  </w:num>
  <w:num w:numId="13">
    <w:abstractNumId w:val="7"/>
  </w:num>
  <w:num w:numId="14">
    <w:abstractNumId w:val="17"/>
  </w:num>
  <w:num w:numId="15">
    <w:abstractNumId w:val="4"/>
  </w:num>
  <w:num w:numId="16">
    <w:abstractNumId w:val="14"/>
  </w:num>
  <w:num w:numId="17">
    <w:abstractNumId w:val="11"/>
  </w:num>
  <w:num w:numId="18">
    <w:abstractNumId w:val="2"/>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85C"/>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542"/>
    <w:rsid w:val="000368F8"/>
    <w:rsid w:val="00036AAC"/>
    <w:rsid w:val="00036B55"/>
    <w:rsid w:val="00036BA1"/>
    <w:rsid w:val="00036E0A"/>
    <w:rsid w:val="00037050"/>
    <w:rsid w:val="000378F9"/>
    <w:rsid w:val="000401FA"/>
    <w:rsid w:val="000403E1"/>
    <w:rsid w:val="000405E2"/>
    <w:rsid w:val="000410BC"/>
    <w:rsid w:val="000421B6"/>
    <w:rsid w:val="000422E2"/>
    <w:rsid w:val="00042339"/>
    <w:rsid w:val="0004253E"/>
    <w:rsid w:val="00042E87"/>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3FC9"/>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B4B"/>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70E"/>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5F74"/>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217"/>
    <w:rsid w:val="0009682B"/>
    <w:rsid w:val="00096AC4"/>
    <w:rsid w:val="00097042"/>
    <w:rsid w:val="00097056"/>
    <w:rsid w:val="00097268"/>
    <w:rsid w:val="00097555"/>
    <w:rsid w:val="00097867"/>
    <w:rsid w:val="00097E47"/>
    <w:rsid w:val="000A0040"/>
    <w:rsid w:val="000A06A6"/>
    <w:rsid w:val="000A1B7B"/>
    <w:rsid w:val="000A251E"/>
    <w:rsid w:val="000A2729"/>
    <w:rsid w:val="000A2DC9"/>
    <w:rsid w:val="000A31DD"/>
    <w:rsid w:val="000A351A"/>
    <w:rsid w:val="000A3695"/>
    <w:rsid w:val="000A39AA"/>
    <w:rsid w:val="000A4113"/>
    <w:rsid w:val="000A4116"/>
    <w:rsid w:val="000A458E"/>
    <w:rsid w:val="000A514C"/>
    <w:rsid w:val="000A56F2"/>
    <w:rsid w:val="000A585C"/>
    <w:rsid w:val="000A6E01"/>
    <w:rsid w:val="000A7492"/>
    <w:rsid w:val="000A7A64"/>
    <w:rsid w:val="000A7D12"/>
    <w:rsid w:val="000B0ECF"/>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AB9"/>
    <w:rsid w:val="000B58C3"/>
    <w:rsid w:val="000B5CC0"/>
    <w:rsid w:val="000B5FA8"/>
    <w:rsid w:val="000B5FC4"/>
    <w:rsid w:val="000B61E9"/>
    <w:rsid w:val="000B6378"/>
    <w:rsid w:val="000B6931"/>
    <w:rsid w:val="000B6E38"/>
    <w:rsid w:val="000B7AF5"/>
    <w:rsid w:val="000B7C52"/>
    <w:rsid w:val="000B7E42"/>
    <w:rsid w:val="000C04BA"/>
    <w:rsid w:val="000C07EA"/>
    <w:rsid w:val="000C165A"/>
    <w:rsid w:val="000C1C4D"/>
    <w:rsid w:val="000C1C4F"/>
    <w:rsid w:val="000C227B"/>
    <w:rsid w:val="000C2E19"/>
    <w:rsid w:val="000C2E52"/>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0E5"/>
    <w:rsid w:val="000D2DFB"/>
    <w:rsid w:val="000D2E12"/>
    <w:rsid w:val="000D2F45"/>
    <w:rsid w:val="000D355B"/>
    <w:rsid w:val="000D3F42"/>
    <w:rsid w:val="000D4797"/>
    <w:rsid w:val="000D47EA"/>
    <w:rsid w:val="000D5030"/>
    <w:rsid w:val="000D5618"/>
    <w:rsid w:val="000D5871"/>
    <w:rsid w:val="000D5B46"/>
    <w:rsid w:val="000D6300"/>
    <w:rsid w:val="000D636E"/>
    <w:rsid w:val="000D6F46"/>
    <w:rsid w:val="000D773A"/>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422D"/>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62FB"/>
    <w:rsid w:val="001063E6"/>
    <w:rsid w:val="0010678A"/>
    <w:rsid w:val="00106BC9"/>
    <w:rsid w:val="00106F49"/>
    <w:rsid w:val="001078D6"/>
    <w:rsid w:val="0010792E"/>
    <w:rsid w:val="00107C52"/>
    <w:rsid w:val="00107DEF"/>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31"/>
    <w:rsid w:val="001273BF"/>
    <w:rsid w:val="00127601"/>
    <w:rsid w:val="00127E72"/>
    <w:rsid w:val="001301BC"/>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D0D"/>
    <w:rsid w:val="001431F7"/>
    <w:rsid w:val="00143364"/>
    <w:rsid w:val="001433FC"/>
    <w:rsid w:val="001434F2"/>
    <w:rsid w:val="001436F0"/>
    <w:rsid w:val="00143815"/>
    <w:rsid w:val="001439E8"/>
    <w:rsid w:val="00143EA4"/>
    <w:rsid w:val="00144027"/>
    <w:rsid w:val="001442C1"/>
    <w:rsid w:val="00144456"/>
    <w:rsid w:val="00144D2D"/>
    <w:rsid w:val="00144E4E"/>
    <w:rsid w:val="001453CC"/>
    <w:rsid w:val="0014569D"/>
    <w:rsid w:val="001459F0"/>
    <w:rsid w:val="00145A43"/>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02"/>
    <w:rsid w:val="0015732B"/>
    <w:rsid w:val="00161428"/>
    <w:rsid w:val="00161553"/>
    <w:rsid w:val="001616DE"/>
    <w:rsid w:val="0016171A"/>
    <w:rsid w:val="00162273"/>
    <w:rsid w:val="001624CA"/>
    <w:rsid w:val="00162691"/>
    <w:rsid w:val="00162EBD"/>
    <w:rsid w:val="00162F7A"/>
    <w:rsid w:val="00162FCB"/>
    <w:rsid w:val="00163B11"/>
    <w:rsid w:val="00163DC9"/>
    <w:rsid w:val="0016404E"/>
    <w:rsid w:val="00164BBF"/>
    <w:rsid w:val="00164D94"/>
    <w:rsid w:val="00164DAA"/>
    <w:rsid w:val="00164DB1"/>
    <w:rsid w:val="00165347"/>
    <w:rsid w:val="001653A7"/>
    <w:rsid w:val="001657D3"/>
    <w:rsid w:val="001657E8"/>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BB2"/>
    <w:rsid w:val="00182CC0"/>
    <w:rsid w:val="00182D35"/>
    <w:rsid w:val="00183F32"/>
    <w:rsid w:val="001844BE"/>
    <w:rsid w:val="001848D9"/>
    <w:rsid w:val="0018493A"/>
    <w:rsid w:val="00184F09"/>
    <w:rsid w:val="00184FEF"/>
    <w:rsid w:val="001851F5"/>
    <w:rsid w:val="00185703"/>
    <w:rsid w:val="00185811"/>
    <w:rsid w:val="00185920"/>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0E"/>
    <w:rsid w:val="0019702D"/>
    <w:rsid w:val="00197489"/>
    <w:rsid w:val="00197740"/>
    <w:rsid w:val="00197DF9"/>
    <w:rsid w:val="001A0599"/>
    <w:rsid w:val="001A0C59"/>
    <w:rsid w:val="001A0E1B"/>
    <w:rsid w:val="001A1834"/>
    <w:rsid w:val="001A1987"/>
    <w:rsid w:val="001A1BB7"/>
    <w:rsid w:val="001A2564"/>
    <w:rsid w:val="001A2809"/>
    <w:rsid w:val="001A2819"/>
    <w:rsid w:val="001A2958"/>
    <w:rsid w:val="001A2A0F"/>
    <w:rsid w:val="001A2A7C"/>
    <w:rsid w:val="001A2EEC"/>
    <w:rsid w:val="001A31FE"/>
    <w:rsid w:val="001A44E7"/>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57F4"/>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5F6B"/>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0DEF"/>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1F7F88"/>
    <w:rsid w:val="00200490"/>
    <w:rsid w:val="00200D72"/>
    <w:rsid w:val="002010D7"/>
    <w:rsid w:val="002014C8"/>
    <w:rsid w:val="00201A09"/>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BA6"/>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0C4"/>
    <w:rsid w:val="00224C60"/>
    <w:rsid w:val="002252C3"/>
    <w:rsid w:val="002253D5"/>
    <w:rsid w:val="00225B70"/>
    <w:rsid w:val="00225C54"/>
    <w:rsid w:val="00225FF0"/>
    <w:rsid w:val="00226FA3"/>
    <w:rsid w:val="002274DC"/>
    <w:rsid w:val="00227A4F"/>
    <w:rsid w:val="00230765"/>
    <w:rsid w:val="002309AA"/>
    <w:rsid w:val="00230C30"/>
    <w:rsid w:val="00231405"/>
    <w:rsid w:val="002319E4"/>
    <w:rsid w:val="00231AFE"/>
    <w:rsid w:val="00231D07"/>
    <w:rsid w:val="00231FD9"/>
    <w:rsid w:val="00232010"/>
    <w:rsid w:val="00232D90"/>
    <w:rsid w:val="00232DF0"/>
    <w:rsid w:val="00232F6B"/>
    <w:rsid w:val="00233111"/>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3E2"/>
    <w:rsid w:val="002435B3"/>
    <w:rsid w:val="00243B24"/>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582"/>
    <w:rsid w:val="0026758B"/>
    <w:rsid w:val="0026799E"/>
    <w:rsid w:val="002679D0"/>
    <w:rsid w:val="00267C83"/>
    <w:rsid w:val="00270039"/>
    <w:rsid w:val="00270260"/>
    <w:rsid w:val="002705D0"/>
    <w:rsid w:val="002706B4"/>
    <w:rsid w:val="0027074B"/>
    <w:rsid w:val="00270DBA"/>
    <w:rsid w:val="0027144F"/>
    <w:rsid w:val="002717FC"/>
    <w:rsid w:val="00271F3A"/>
    <w:rsid w:val="002722E5"/>
    <w:rsid w:val="00272410"/>
    <w:rsid w:val="00272B93"/>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2D05"/>
    <w:rsid w:val="002833AD"/>
    <w:rsid w:val="00283450"/>
    <w:rsid w:val="002837AB"/>
    <w:rsid w:val="00283898"/>
    <w:rsid w:val="00283E92"/>
    <w:rsid w:val="00284024"/>
    <w:rsid w:val="00284730"/>
    <w:rsid w:val="002848DB"/>
    <w:rsid w:val="00285A3A"/>
    <w:rsid w:val="00285A7F"/>
    <w:rsid w:val="00285DC5"/>
    <w:rsid w:val="002860A9"/>
    <w:rsid w:val="002860DD"/>
    <w:rsid w:val="00286ACD"/>
    <w:rsid w:val="00287838"/>
    <w:rsid w:val="00287875"/>
    <w:rsid w:val="0028787C"/>
    <w:rsid w:val="002907B5"/>
    <w:rsid w:val="00290B65"/>
    <w:rsid w:val="00290FBD"/>
    <w:rsid w:val="00291A8A"/>
    <w:rsid w:val="00291E33"/>
    <w:rsid w:val="00292452"/>
    <w:rsid w:val="00292481"/>
    <w:rsid w:val="00292B7D"/>
    <w:rsid w:val="00292E1A"/>
    <w:rsid w:val="00292EB7"/>
    <w:rsid w:val="0029308B"/>
    <w:rsid w:val="002932CA"/>
    <w:rsid w:val="00293A54"/>
    <w:rsid w:val="00293BE1"/>
    <w:rsid w:val="002950A7"/>
    <w:rsid w:val="002953E4"/>
    <w:rsid w:val="0029561D"/>
    <w:rsid w:val="00295D25"/>
    <w:rsid w:val="00295EEB"/>
    <w:rsid w:val="00296227"/>
    <w:rsid w:val="00296F44"/>
    <w:rsid w:val="0029777D"/>
    <w:rsid w:val="00297956"/>
    <w:rsid w:val="00297E15"/>
    <w:rsid w:val="002A02E2"/>
    <w:rsid w:val="002A0501"/>
    <w:rsid w:val="002A055E"/>
    <w:rsid w:val="002A090F"/>
    <w:rsid w:val="002A0CD9"/>
    <w:rsid w:val="002A0DF6"/>
    <w:rsid w:val="002A113B"/>
    <w:rsid w:val="002A1D4E"/>
    <w:rsid w:val="002A20A3"/>
    <w:rsid w:val="002A2458"/>
    <w:rsid w:val="002A2869"/>
    <w:rsid w:val="002A2D3D"/>
    <w:rsid w:val="002A2F01"/>
    <w:rsid w:val="002A3DA3"/>
    <w:rsid w:val="002A4BED"/>
    <w:rsid w:val="002A567E"/>
    <w:rsid w:val="002A6349"/>
    <w:rsid w:val="002A6C44"/>
    <w:rsid w:val="002A7575"/>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0ED"/>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4ECB"/>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6641"/>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3E7"/>
    <w:rsid w:val="003279EA"/>
    <w:rsid w:val="003279EE"/>
    <w:rsid w:val="0033048B"/>
    <w:rsid w:val="00330DD6"/>
    <w:rsid w:val="003312D3"/>
    <w:rsid w:val="003313C6"/>
    <w:rsid w:val="00331742"/>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300"/>
    <w:rsid w:val="00345640"/>
    <w:rsid w:val="00345B67"/>
    <w:rsid w:val="0034632B"/>
    <w:rsid w:val="00346383"/>
    <w:rsid w:val="00346412"/>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0F"/>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46C"/>
    <w:rsid w:val="00356494"/>
    <w:rsid w:val="00357380"/>
    <w:rsid w:val="0035758F"/>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05F5"/>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2064"/>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119"/>
    <w:rsid w:val="003A339D"/>
    <w:rsid w:val="003A41CF"/>
    <w:rsid w:val="003A4221"/>
    <w:rsid w:val="003A4231"/>
    <w:rsid w:val="003A431D"/>
    <w:rsid w:val="003A438A"/>
    <w:rsid w:val="003A45A1"/>
    <w:rsid w:val="003A55C0"/>
    <w:rsid w:val="003A5B0A"/>
    <w:rsid w:val="003A5F5D"/>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2C6E"/>
    <w:rsid w:val="003D370F"/>
    <w:rsid w:val="003D3A04"/>
    <w:rsid w:val="003D3BE1"/>
    <w:rsid w:val="003D423D"/>
    <w:rsid w:val="003D4449"/>
    <w:rsid w:val="003D51FB"/>
    <w:rsid w:val="003D5434"/>
    <w:rsid w:val="003D54F0"/>
    <w:rsid w:val="003D56E6"/>
    <w:rsid w:val="003D58BB"/>
    <w:rsid w:val="003D5B1F"/>
    <w:rsid w:val="003D5E88"/>
    <w:rsid w:val="003D624D"/>
    <w:rsid w:val="003D63E4"/>
    <w:rsid w:val="003D6A4E"/>
    <w:rsid w:val="003D6D8B"/>
    <w:rsid w:val="003D7BC8"/>
    <w:rsid w:val="003D7D2B"/>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93C"/>
    <w:rsid w:val="003F2CD4"/>
    <w:rsid w:val="003F2D10"/>
    <w:rsid w:val="003F3140"/>
    <w:rsid w:val="003F32BE"/>
    <w:rsid w:val="003F333C"/>
    <w:rsid w:val="003F398E"/>
    <w:rsid w:val="003F3A3E"/>
    <w:rsid w:val="003F40A5"/>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737"/>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66A0"/>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A60"/>
    <w:rsid w:val="00431D49"/>
    <w:rsid w:val="004320FC"/>
    <w:rsid w:val="004322B7"/>
    <w:rsid w:val="004339E8"/>
    <w:rsid w:val="00434169"/>
    <w:rsid w:val="004347C0"/>
    <w:rsid w:val="0043508E"/>
    <w:rsid w:val="00435E1D"/>
    <w:rsid w:val="00435FEA"/>
    <w:rsid w:val="004360E5"/>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1F"/>
    <w:rsid w:val="0046140B"/>
    <w:rsid w:val="00461AE9"/>
    <w:rsid w:val="0046239B"/>
    <w:rsid w:val="004628A0"/>
    <w:rsid w:val="004635E5"/>
    <w:rsid w:val="004637F1"/>
    <w:rsid w:val="00464BA3"/>
    <w:rsid w:val="00465035"/>
    <w:rsid w:val="00465322"/>
    <w:rsid w:val="00465E7B"/>
    <w:rsid w:val="00466507"/>
    <w:rsid w:val="004669E2"/>
    <w:rsid w:val="00466D1F"/>
    <w:rsid w:val="004673C4"/>
    <w:rsid w:val="004673F6"/>
    <w:rsid w:val="0046786B"/>
    <w:rsid w:val="0047063A"/>
    <w:rsid w:val="00470B9C"/>
    <w:rsid w:val="00470BC5"/>
    <w:rsid w:val="00470C31"/>
    <w:rsid w:val="00470DD0"/>
    <w:rsid w:val="00471166"/>
    <w:rsid w:val="00471340"/>
    <w:rsid w:val="00471D48"/>
    <w:rsid w:val="0047252F"/>
    <w:rsid w:val="004734D0"/>
    <w:rsid w:val="00473B26"/>
    <w:rsid w:val="004742F8"/>
    <w:rsid w:val="004743D6"/>
    <w:rsid w:val="00474719"/>
    <w:rsid w:val="00474C5F"/>
    <w:rsid w:val="00474F63"/>
    <w:rsid w:val="00475188"/>
    <w:rsid w:val="004754FE"/>
    <w:rsid w:val="0047556B"/>
    <w:rsid w:val="00477532"/>
    <w:rsid w:val="00477768"/>
    <w:rsid w:val="0047784C"/>
    <w:rsid w:val="00477997"/>
    <w:rsid w:val="00481646"/>
    <w:rsid w:val="0048224C"/>
    <w:rsid w:val="00482408"/>
    <w:rsid w:val="00482A0C"/>
    <w:rsid w:val="00482D87"/>
    <w:rsid w:val="00482DC0"/>
    <w:rsid w:val="00482E54"/>
    <w:rsid w:val="00482F04"/>
    <w:rsid w:val="00483F5C"/>
    <w:rsid w:val="00483FF9"/>
    <w:rsid w:val="00485854"/>
    <w:rsid w:val="00485EDF"/>
    <w:rsid w:val="00486A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35AE"/>
    <w:rsid w:val="004A38C4"/>
    <w:rsid w:val="004A46BE"/>
    <w:rsid w:val="004A5EEA"/>
    <w:rsid w:val="004A6714"/>
    <w:rsid w:val="004A6DE6"/>
    <w:rsid w:val="004A6FC3"/>
    <w:rsid w:val="004A72CE"/>
    <w:rsid w:val="004A7990"/>
    <w:rsid w:val="004B008B"/>
    <w:rsid w:val="004B0152"/>
    <w:rsid w:val="004B02A5"/>
    <w:rsid w:val="004B0368"/>
    <w:rsid w:val="004B19F7"/>
    <w:rsid w:val="004B1DA6"/>
    <w:rsid w:val="004B2472"/>
    <w:rsid w:val="004B27CF"/>
    <w:rsid w:val="004B29DB"/>
    <w:rsid w:val="004B2FAD"/>
    <w:rsid w:val="004B3846"/>
    <w:rsid w:val="004B3DE9"/>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4BE7"/>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6FD5"/>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214C"/>
    <w:rsid w:val="005027FE"/>
    <w:rsid w:val="0050367C"/>
    <w:rsid w:val="005036E3"/>
    <w:rsid w:val="0050393E"/>
    <w:rsid w:val="00503C4E"/>
    <w:rsid w:val="00503EC2"/>
    <w:rsid w:val="00503FE2"/>
    <w:rsid w:val="005044C8"/>
    <w:rsid w:val="005047C1"/>
    <w:rsid w:val="00505AE9"/>
    <w:rsid w:val="00505E98"/>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6E0E"/>
    <w:rsid w:val="00527626"/>
    <w:rsid w:val="00527682"/>
    <w:rsid w:val="00530AA4"/>
    <w:rsid w:val="00531AC1"/>
    <w:rsid w:val="00531BF4"/>
    <w:rsid w:val="005328F0"/>
    <w:rsid w:val="005332D4"/>
    <w:rsid w:val="00533703"/>
    <w:rsid w:val="00533AE7"/>
    <w:rsid w:val="00533AEB"/>
    <w:rsid w:val="00533BE5"/>
    <w:rsid w:val="005342E4"/>
    <w:rsid w:val="0053447D"/>
    <w:rsid w:val="00534B33"/>
    <w:rsid w:val="00534B59"/>
    <w:rsid w:val="00534BE9"/>
    <w:rsid w:val="0053562F"/>
    <w:rsid w:val="00535A0B"/>
    <w:rsid w:val="00535E90"/>
    <w:rsid w:val="0053642F"/>
    <w:rsid w:val="00536759"/>
    <w:rsid w:val="00536904"/>
    <w:rsid w:val="00536B96"/>
    <w:rsid w:val="00537303"/>
    <w:rsid w:val="00537399"/>
    <w:rsid w:val="005375D2"/>
    <w:rsid w:val="0053761F"/>
    <w:rsid w:val="00537C62"/>
    <w:rsid w:val="00537EE2"/>
    <w:rsid w:val="00537FD9"/>
    <w:rsid w:val="00540DD1"/>
    <w:rsid w:val="00540F99"/>
    <w:rsid w:val="0054101C"/>
    <w:rsid w:val="00541A9B"/>
    <w:rsid w:val="00541C62"/>
    <w:rsid w:val="005426A6"/>
    <w:rsid w:val="0054286D"/>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54A"/>
    <w:rsid w:val="00551EF7"/>
    <w:rsid w:val="005520C3"/>
    <w:rsid w:val="0055211B"/>
    <w:rsid w:val="005527BD"/>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65D"/>
    <w:rsid w:val="0057074A"/>
    <w:rsid w:val="00570991"/>
    <w:rsid w:val="005709BC"/>
    <w:rsid w:val="00570C3D"/>
    <w:rsid w:val="00571034"/>
    <w:rsid w:val="00571D01"/>
    <w:rsid w:val="00572065"/>
    <w:rsid w:val="00572505"/>
    <w:rsid w:val="00572612"/>
    <w:rsid w:val="005727E5"/>
    <w:rsid w:val="00572EAB"/>
    <w:rsid w:val="00573434"/>
    <w:rsid w:val="00573BBD"/>
    <w:rsid w:val="00573C73"/>
    <w:rsid w:val="0057498C"/>
    <w:rsid w:val="00574E79"/>
    <w:rsid w:val="005753F6"/>
    <w:rsid w:val="00575952"/>
    <w:rsid w:val="00575BF4"/>
    <w:rsid w:val="005764D3"/>
    <w:rsid w:val="0057685C"/>
    <w:rsid w:val="00576A80"/>
    <w:rsid w:val="00576C96"/>
    <w:rsid w:val="0057714A"/>
    <w:rsid w:val="00577B53"/>
    <w:rsid w:val="0058069E"/>
    <w:rsid w:val="005809C0"/>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52A"/>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BC1"/>
    <w:rsid w:val="00596CA7"/>
    <w:rsid w:val="0059779B"/>
    <w:rsid w:val="0059781F"/>
    <w:rsid w:val="0059785E"/>
    <w:rsid w:val="00597898"/>
    <w:rsid w:val="00597EA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5B33"/>
    <w:rsid w:val="005D6D17"/>
    <w:rsid w:val="005D71E8"/>
    <w:rsid w:val="005D7C4B"/>
    <w:rsid w:val="005E0144"/>
    <w:rsid w:val="005E0410"/>
    <w:rsid w:val="005E05AF"/>
    <w:rsid w:val="005E100A"/>
    <w:rsid w:val="005E1367"/>
    <w:rsid w:val="005E18F7"/>
    <w:rsid w:val="005E21D3"/>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715C"/>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CDD"/>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782"/>
    <w:rsid w:val="00627913"/>
    <w:rsid w:val="00627959"/>
    <w:rsid w:val="00627FCF"/>
    <w:rsid w:val="00630001"/>
    <w:rsid w:val="006309A8"/>
    <w:rsid w:val="00631196"/>
    <w:rsid w:val="006311B3"/>
    <w:rsid w:val="00631E71"/>
    <w:rsid w:val="00631F94"/>
    <w:rsid w:val="0063222C"/>
    <w:rsid w:val="0063231B"/>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0E20"/>
    <w:rsid w:val="00641034"/>
    <w:rsid w:val="0064151F"/>
    <w:rsid w:val="00641533"/>
    <w:rsid w:val="006419F0"/>
    <w:rsid w:val="0064208D"/>
    <w:rsid w:val="00642303"/>
    <w:rsid w:val="00642793"/>
    <w:rsid w:val="00643005"/>
    <w:rsid w:val="00643475"/>
    <w:rsid w:val="0064396A"/>
    <w:rsid w:val="00643D5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0C00"/>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2B41"/>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318"/>
    <w:rsid w:val="00684F85"/>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505"/>
    <w:rsid w:val="00694D32"/>
    <w:rsid w:val="006950A0"/>
    <w:rsid w:val="00695429"/>
    <w:rsid w:val="00695571"/>
    <w:rsid w:val="00695AC4"/>
    <w:rsid w:val="00695FC2"/>
    <w:rsid w:val="006967F9"/>
    <w:rsid w:val="00696949"/>
    <w:rsid w:val="00697052"/>
    <w:rsid w:val="00697533"/>
    <w:rsid w:val="00697B40"/>
    <w:rsid w:val="00697F6C"/>
    <w:rsid w:val="006A1EA7"/>
    <w:rsid w:val="006A2296"/>
    <w:rsid w:val="006A2AA8"/>
    <w:rsid w:val="006A2BB1"/>
    <w:rsid w:val="006A2E30"/>
    <w:rsid w:val="006A3716"/>
    <w:rsid w:val="006A37AF"/>
    <w:rsid w:val="006A3899"/>
    <w:rsid w:val="006A3921"/>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92E"/>
    <w:rsid w:val="006C1A56"/>
    <w:rsid w:val="006C2681"/>
    <w:rsid w:val="006C2769"/>
    <w:rsid w:val="006C2899"/>
    <w:rsid w:val="006C2944"/>
    <w:rsid w:val="006C3372"/>
    <w:rsid w:val="006C38B5"/>
    <w:rsid w:val="006C4E75"/>
    <w:rsid w:val="006C512F"/>
    <w:rsid w:val="006C5134"/>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321"/>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481"/>
    <w:rsid w:val="006E673D"/>
    <w:rsid w:val="006E6B76"/>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21"/>
    <w:rsid w:val="006F7A44"/>
    <w:rsid w:val="006F7F9C"/>
    <w:rsid w:val="0070040E"/>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997"/>
    <w:rsid w:val="00721DC4"/>
    <w:rsid w:val="00721FF6"/>
    <w:rsid w:val="007228FB"/>
    <w:rsid w:val="00722A66"/>
    <w:rsid w:val="00723AB7"/>
    <w:rsid w:val="00724773"/>
    <w:rsid w:val="00726AA9"/>
    <w:rsid w:val="00726EA6"/>
    <w:rsid w:val="00727050"/>
    <w:rsid w:val="00727208"/>
    <w:rsid w:val="00727680"/>
    <w:rsid w:val="007278B7"/>
    <w:rsid w:val="00727A04"/>
    <w:rsid w:val="007302B2"/>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20"/>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79F5"/>
    <w:rsid w:val="00747D8B"/>
    <w:rsid w:val="007505A2"/>
    <w:rsid w:val="00750EAB"/>
    <w:rsid w:val="00751228"/>
    <w:rsid w:val="00751431"/>
    <w:rsid w:val="00751589"/>
    <w:rsid w:val="00751661"/>
    <w:rsid w:val="00751920"/>
    <w:rsid w:val="00751C59"/>
    <w:rsid w:val="0075414C"/>
    <w:rsid w:val="007549A3"/>
    <w:rsid w:val="007549B0"/>
    <w:rsid w:val="00754CB4"/>
    <w:rsid w:val="00754CF8"/>
    <w:rsid w:val="00755303"/>
    <w:rsid w:val="00755D2D"/>
    <w:rsid w:val="00755F2D"/>
    <w:rsid w:val="00755F76"/>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8E0"/>
    <w:rsid w:val="00773962"/>
    <w:rsid w:val="00774CC3"/>
    <w:rsid w:val="00774F62"/>
    <w:rsid w:val="007755F2"/>
    <w:rsid w:val="007764D1"/>
    <w:rsid w:val="0077658D"/>
    <w:rsid w:val="00776971"/>
    <w:rsid w:val="00776B2C"/>
    <w:rsid w:val="00777630"/>
    <w:rsid w:val="0077777F"/>
    <w:rsid w:val="00780276"/>
    <w:rsid w:val="007803DF"/>
    <w:rsid w:val="00780A35"/>
    <w:rsid w:val="00780FD1"/>
    <w:rsid w:val="007814A9"/>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38"/>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268"/>
    <w:rsid w:val="007B091A"/>
    <w:rsid w:val="007B1731"/>
    <w:rsid w:val="007B19BD"/>
    <w:rsid w:val="007B1D4D"/>
    <w:rsid w:val="007B1FC0"/>
    <w:rsid w:val="007B1FF3"/>
    <w:rsid w:val="007B23D7"/>
    <w:rsid w:val="007B2B62"/>
    <w:rsid w:val="007B3D2D"/>
    <w:rsid w:val="007B4B5D"/>
    <w:rsid w:val="007B4F48"/>
    <w:rsid w:val="007B50AE"/>
    <w:rsid w:val="007B51DF"/>
    <w:rsid w:val="007B5F0E"/>
    <w:rsid w:val="007B6203"/>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18"/>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251"/>
    <w:rsid w:val="007D5901"/>
    <w:rsid w:val="007D59D2"/>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373"/>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763"/>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0A1E"/>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27E0"/>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29C"/>
    <w:rsid w:val="008315FD"/>
    <w:rsid w:val="00831982"/>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A93"/>
    <w:rsid w:val="00852E12"/>
    <w:rsid w:val="00853231"/>
    <w:rsid w:val="00853726"/>
    <w:rsid w:val="008537EC"/>
    <w:rsid w:val="008539C6"/>
    <w:rsid w:val="00853B00"/>
    <w:rsid w:val="00853F44"/>
    <w:rsid w:val="00854DAF"/>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A2C"/>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977"/>
    <w:rsid w:val="00873F9C"/>
    <w:rsid w:val="00874312"/>
    <w:rsid w:val="0087437A"/>
    <w:rsid w:val="0087437C"/>
    <w:rsid w:val="00874D6E"/>
    <w:rsid w:val="00875061"/>
    <w:rsid w:val="00875478"/>
    <w:rsid w:val="008754C8"/>
    <w:rsid w:val="008755AB"/>
    <w:rsid w:val="00875B5E"/>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87D99"/>
    <w:rsid w:val="008900BD"/>
    <w:rsid w:val="00890D9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68C8"/>
    <w:rsid w:val="00896B4F"/>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A7C9C"/>
    <w:rsid w:val="008B0483"/>
    <w:rsid w:val="008B0BBC"/>
    <w:rsid w:val="008B0CDD"/>
    <w:rsid w:val="008B1152"/>
    <w:rsid w:val="008B120C"/>
    <w:rsid w:val="008B166C"/>
    <w:rsid w:val="008B193A"/>
    <w:rsid w:val="008B1A70"/>
    <w:rsid w:val="008B1FED"/>
    <w:rsid w:val="008B25BF"/>
    <w:rsid w:val="008B2966"/>
    <w:rsid w:val="008B32B7"/>
    <w:rsid w:val="008B33EC"/>
    <w:rsid w:val="008B38C1"/>
    <w:rsid w:val="008B391E"/>
    <w:rsid w:val="008B4015"/>
    <w:rsid w:val="008B425E"/>
    <w:rsid w:val="008B4790"/>
    <w:rsid w:val="008B51A0"/>
    <w:rsid w:val="008B592A"/>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13"/>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7D9"/>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578D"/>
    <w:rsid w:val="00916079"/>
    <w:rsid w:val="00916264"/>
    <w:rsid w:val="00916278"/>
    <w:rsid w:val="0091632F"/>
    <w:rsid w:val="00916AD6"/>
    <w:rsid w:val="00917087"/>
    <w:rsid w:val="00917787"/>
    <w:rsid w:val="00917CE9"/>
    <w:rsid w:val="00920072"/>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7A"/>
    <w:rsid w:val="00927496"/>
    <w:rsid w:val="0092764F"/>
    <w:rsid w:val="009308A8"/>
    <w:rsid w:val="00930B55"/>
    <w:rsid w:val="00930C4C"/>
    <w:rsid w:val="00931BD9"/>
    <w:rsid w:val="00931BE4"/>
    <w:rsid w:val="0093247F"/>
    <w:rsid w:val="00932934"/>
    <w:rsid w:val="00933153"/>
    <w:rsid w:val="009331CC"/>
    <w:rsid w:val="0093334C"/>
    <w:rsid w:val="00933F2E"/>
    <w:rsid w:val="009341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3F6C"/>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20A"/>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FAD"/>
    <w:rsid w:val="00973346"/>
    <w:rsid w:val="00973A06"/>
    <w:rsid w:val="00973EAF"/>
    <w:rsid w:val="009742BB"/>
    <w:rsid w:val="00974B94"/>
    <w:rsid w:val="00974D28"/>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4EF"/>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34B"/>
    <w:rsid w:val="009A462D"/>
    <w:rsid w:val="009A4FE2"/>
    <w:rsid w:val="009A5691"/>
    <w:rsid w:val="009A571B"/>
    <w:rsid w:val="009A5C7C"/>
    <w:rsid w:val="009A5CBA"/>
    <w:rsid w:val="009A5DC5"/>
    <w:rsid w:val="009A5EDE"/>
    <w:rsid w:val="009A63F5"/>
    <w:rsid w:val="009A7823"/>
    <w:rsid w:val="009B093A"/>
    <w:rsid w:val="009B109F"/>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1FB9"/>
    <w:rsid w:val="009C25C6"/>
    <w:rsid w:val="009C2B21"/>
    <w:rsid w:val="009C3911"/>
    <w:rsid w:val="009C3976"/>
    <w:rsid w:val="009C39E6"/>
    <w:rsid w:val="009C3B62"/>
    <w:rsid w:val="009C3E63"/>
    <w:rsid w:val="009C3EB2"/>
    <w:rsid w:val="009C403E"/>
    <w:rsid w:val="009C4199"/>
    <w:rsid w:val="009C55F1"/>
    <w:rsid w:val="009C6EE9"/>
    <w:rsid w:val="009C7F11"/>
    <w:rsid w:val="009D03B6"/>
    <w:rsid w:val="009D052A"/>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629"/>
    <w:rsid w:val="009E6B5E"/>
    <w:rsid w:val="009E6C41"/>
    <w:rsid w:val="009F026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446"/>
    <w:rsid w:val="00A03636"/>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635"/>
    <w:rsid w:val="00A17F63"/>
    <w:rsid w:val="00A17F89"/>
    <w:rsid w:val="00A20DE3"/>
    <w:rsid w:val="00A212A7"/>
    <w:rsid w:val="00A21614"/>
    <w:rsid w:val="00A216D9"/>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C57"/>
    <w:rsid w:val="00A37DB3"/>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1F2A"/>
    <w:rsid w:val="00A525B7"/>
    <w:rsid w:val="00A52BC1"/>
    <w:rsid w:val="00A52E1D"/>
    <w:rsid w:val="00A536E5"/>
    <w:rsid w:val="00A538A6"/>
    <w:rsid w:val="00A53EF4"/>
    <w:rsid w:val="00A54432"/>
    <w:rsid w:val="00A54646"/>
    <w:rsid w:val="00A55940"/>
    <w:rsid w:val="00A55DAD"/>
    <w:rsid w:val="00A56673"/>
    <w:rsid w:val="00A56786"/>
    <w:rsid w:val="00A56BAD"/>
    <w:rsid w:val="00A573FC"/>
    <w:rsid w:val="00A57B16"/>
    <w:rsid w:val="00A57BE4"/>
    <w:rsid w:val="00A57DFA"/>
    <w:rsid w:val="00A6033E"/>
    <w:rsid w:val="00A603E7"/>
    <w:rsid w:val="00A609C8"/>
    <w:rsid w:val="00A60A59"/>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DC"/>
    <w:rsid w:val="00A74E20"/>
    <w:rsid w:val="00A7588F"/>
    <w:rsid w:val="00A761D4"/>
    <w:rsid w:val="00A762ED"/>
    <w:rsid w:val="00A76437"/>
    <w:rsid w:val="00A76C56"/>
    <w:rsid w:val="00A76C72"/>
    <w:rsid w:val="00A77EC4"/>
    <w:rsid w:val="00A8000B"/>
    <w:rsid w:val="00A804BA"/>
    <w:rsid w:val="00A80A63"/>
    <w:rsid w:val="00A80BDE"/>
    <w:rsid w:val="00A80C32"/>
    <w:rsid w:val="00A80CCB"/>
    <w:rsid w:val="00A810A3"/>
    <w:rsid w:val="00A81835"/>
    <w:rsid w:val="00A81AB1"/>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03"/>
    <w:rsid w:val="00A94A67"/>
    <w:rsid w:val="00A94FF7"/>
    <w:rsid w:val="00A95CEB"/>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362"/>
    <w:rsid w:val="00AB04DF"/>
    <w:rsid w:val="00AB0780"/>
    <w:rsid w:val="00AB094D"/>
    <w:rsid w:val="00AB0BC8"/>
    <w:rsid w:val="00AB11CA"/>
    <w:rsid w:val="00AB1354"/>
    <w:rsid w:val="00AB14D9"/>
    <w:rsid w:val="00AB15C7"/>
    <w:rsid w:val="00AB1A46"/>
    <w:rsid w:val="00AB1AEC"/>
    <w:rsid w:val="00AB1E2A"/>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BEF"/>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C6A8E"/>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7BC"/>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527"/>
    <w:rsid w:val="00B105EA"/>
    <w:rsid w:val="00B107DB"/>
    <w:rsid w:val="00B1097A"/>
    <w:rsid w:val="00B10CC2"/>
    <w:rsid w:val="00B110F3"/>
    <w:rsid w:val="00B11932"/>
    <w:rsid w:val="00B11B06"/>
    <w:rsid w:val="00B12391"/>
    <w:rsid w:val="00B129D8"/>
    <w:rsid w:val="00B12D8E"/>
    <w:rsid w:val="00B13B12"/>
    <w:rsid w:val="00B13CC2"/>
    <w:rsid w:val="00B13D78"/>
    <w:rsid w:val="00B13E78"/>
    <w:rsid w:val="00B140C4"/>
    <w:rsid w:val="00B14861"/>
    <w:rsid w:val="00B14AB4"/>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3E3"/>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7A5"/>
    <w:rsid w:val="00B30929"/>
    <w:rsid w:val="00B30A3C"/>
    <w:rsid w:val="00B30CC1"/>
    <w:rsid w:val="00B30E60"/>
    <w:rsid w:val="00B3144C"/>
    <w:rsid w:val="00B31B52"/>
    <w:rsid w:val="00B32566"/>
    <w:rsid w:val="00B325C2"/>
    <w:rsid w:val="00B32FD6"/>
    <w:rsid w:val="00B331C9"/>
    <w:rsid w:val="00B33588"/>
    <w:rsid w:val="00B3358C"/>
    <w:rsid w:val="00B340D1"/>
    <w:rsid w:val="00B34D20"/>
    <w:rsid w:val="00B35FE2"/>
    <w:rsid w:val="00B361B0"/>
    <w:rsid w:val="00B36618"/>
    <w:rsid w:val="00B369B4"/>
    <w:rsid w:val="00B36DBC"/>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0EC"/>
    <w:rsid w:val="00B506F0"/>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21C"/>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3B40"/>
    <w:rsid w:val="00B841D5"/>
    <w:rsid w:val="00B84270"/>
    <w:rsid w:val="00B844D5"/>
    <w:rsid w:val="00B84D07"/>
    <w:rsid w:val="00B854B9"/>
    <w:rsid w:val="00B856DA"/>
    <w:rsid w:val="00B858CB"/>
    <w:rsid w:val="00B85DE5"/>
    <w:rsid w:val="00B85EC9"/>
    <w:rsid w:val="00B861DF"/>
    <w:rsid w:val="00B86433"/>
    <w:rsid w:val="00B879FC"/>
    <w:rsid w:val="00B87CA9"/>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9B7"/>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45A"/>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A7E5E"/>
    <w:rsid w:val="00BB0292"/>
    <w:rsid w:val="00BB0885"/>
    <w:rsid w:val="00BB0C50"/>
    <w:rsid w:val="00BB27EF"/>
    <w:rsid w:val="00BB2857"/>
    <w:rsid w:val="00BB2A25"/>
    <w:rsid w:val="00BB2A31"/>
    <w:rsid w:val="00BB30A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1B17"/>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1C7"/>
    <w:rsid w:val="00BE2534"/>
    <w:rsid w:val="00BE2C14"/>
    <w:rsid w:val="00BE2CE3"/>
    <w:rsid w:val="00BE2FA6"/>
    <w:rsid w:val="00BE317C"/>
    <w:rsid w:val="00BE333F"/>
    <w:rsid w:val="00BE4330"/>
    <w:rsid w:val="00BE467A"/>
    <w:rsid w:val="00BE4882"/>
    <w:rsid w:val="00BE52DC"/>
    <w:rsid w:val="00BE5B3D"/>
    <w:rsid w:val="00BE5D1A"/>
    <w:rsid w:val="00BE6AB1"/>
    <w:rsid w:val="00BE7406"/>
    <w:rsid w:val="00BE7603"/>
    <w:rsid w:val="00BE7B2A"/>
    <w:rsid w:val="00BF040A"/>
    <w:rsid w:val="00BF11CE"/>
    <w:rsid w:val="00BF228C"/>
    <w:rsid w:val="00BF2D7C"/>
    <w:rsid w:val="00BF3279"/>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EC9"/>
    <w:rsid w:val="00C01F33"/>
    <w:rsid w:val="00C02752"/>
    <w:rsid w:val="00C0288D"/>
    <w:rsid w:val="00C02CC6"/>
    <w:rsid w:val="00C02F1E"/>
    <w:rsid w:val="00C03049"/>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19"/>
    <w:rsid w:val="00C1394F"/>
    <w:rsid w:val="00C13B04"/>
    <w:rsid w:val="00C14031"/>
    <w:rsid w:val="00C142BC"/>
    <w:rsid w:val="00C14CB9"/>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77E"/>
    <w:rsid w:val="00C23BE3"/>
    <w:rsid w:val="00C23DE5"/>
    <w:rsid w:val="00C240FF"/>
    <w:rsid w:val="00C24C77"/>
    <w:rsid w:val="00C2561A"/>
    <w:rsid w:val="00C25765"/>
    <w:rsid w:val="00C25A71"/>
    <w:rsid w:val="00C25F66"/>
    <w:rsid w:val="00C26229"/>
    <w:rsid w:val="00C26554"/>
    <w:rsid w:val="00C265F8"/>
    <w:rsid w:val="00C267B1"/>
    <w:rsid w:val="00C27075"/>
    <w:rsid w:val="00C278C0"/>
    <w:rsid w:val="00C279B5"/>
    <w:rsid w:val="00C27B90"/>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754"/>
    <w:rsid w:val="00C37B6C"/>
    <w:rsid w:val="00C40223"/>
    <w:rsid w:val="00C4049F"/>
    <w:rsid w:val="00C406EE"/>
    <w:rsid w:val="00C40A63"/>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4E93"/>
    <w:rsid w:val="00C551A8"/>
    <w:rsid w:val="00C558AD"/>
    <w:rsid w:val="00C55D7F"/>
    <w:rsid w:val="00C5769A"/>
    <w:rsid w:val="00C60783"/>
    <w:rsid w:val="00C60AFC"/>
    <w:rsid w:val="00C610B7"/>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C0"/>
    <w:rsid w:val="00C67B1D"/>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986"/>
    <w:rsid w:val="00C75B82"/>
    <w:rsid w:val="00C75D2F"/>
    <w:rsid w:val="00C76101"/>
    <w:rsid w:val="00C76413"/>
    <w:rsid w:val="00C767BE"/>
    <w:rsid w:val="00C7693E"/>
    <w:rsid w:val="00C76D19"/>
    <w:rsid w:val="00C76E1A"/>
    <w:rsid w:val="00C76E3C"/>
    <w:rsid w:val="00C771C9"/>
    <w:rsid w:val="00C8023D"/>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2520"/>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71B"/>
    <w:rsid w:val="00CA3CE2"/>
    <w:rsid w:val="00CA3DFB"/>
    <w:rsid w:val="00CA44EE"/>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65F"/>
    <w:rsid w:val="00CC2D32"/>
    <w:rsid w:val="00CC37FD"/>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865"/>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20D"/>
    <w:rsid w:val="00D04660"/>
    <w:rsid w:val="00D05191"/>
    <w:rsid w:val="00D059A5"/>
    <w:rsid w:val="00D05B93"/>
    <w:rsid w:val="00D05D38"/>
    <w:rsid w:val="00D0643A"/>
    <w:rsid w:val="00D06960"/>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38"/>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A29"/>
    <w:rsid w:val="00D42372"/>
    <w:rsid w:val="00D42615"/>
    <w:rsid w:val="00D42D8A"/>
    <w:rsid w:val="00D42DAF"/>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219"/>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1B2"/>
    <w:rsid w:val="00D60790"/>
    <w:rsid w:val="00D614C1"/>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10B5"/>
    <w:rsid w:val="00DA1146"/>
    <w:rsid w:val="00DA2211"/>
    <w:rsid w:val="00DA2D1C"/>
    <w:rsid w:val="00DA305E"/>
    <w:rsid w:val="00DA30E7"/>
    <w:rsid w:val="00DA3D32"/>
    <w:rsid w:val="00DA3D55"/>
    <w:rsid w:val="00DA4168"/>
    <w:rsid w:val="00DA419D"/>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038"/>
    <w:rsid w:val="00DB19CC"/>
    <w:rsid w:val="00DB1A5D"/>
    <w:rsid w:val="00DB1F87"/>
    <w:rsid w:val="00DB224D"/>
    <w:rsid w:val="00DB241F"/>
    <w:rsid w:val="00DB2854"/>
    <w:rsid w:val="00DB377D"/>
    <w:rsid w:val="00DB69F1"/>
    <w:rsid w:val="00DB6EBC"/>
    <w:rsid w:val="00DB71D8"/>
    <w:rsid w:val="00DB76D9"/>
    <w:rsid w:val="00DB7E14"/>
    <w:rsid w:val="00DC0032"/>
    <w:rsid w:val="00DC0387"/>
    <w:rsid w:val="00DC0462"/>
    <w:rsid w:val="00DC0D1C"/>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AA1"/>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B9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15"/>
    <w:rsid w:val="00DF6B3C"/>
    <w:rsid w:val="00DF756F"/>
    <w:rsid w:val="00DF7641"/>
    <w:rsid w:val="00DF7A84"/>
    <w:rsid w:val="00E00AD4"/>
    <w:rsid w:val="00E00CC3"/>
    <w:rsid w:val="00E00DA1"/>
    <w:rsid w:val="00E01756"/>
    <w:rsid w:val="00E01820"/>
    <w:rsid w:val="00E01925"/>
    <w:rsid w:val="00E02238"/>
    <w:rsid w:val="00E0324B"/>
    <w:rsid w:val="00E03488"/>
    <w:rsid w:val="00E04531"/>
    <w:rsid w:val="00E04614"/>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5D8"/>
    <w:rsid w:val="00E15CAB"/>
    <w:rsid w:val="00E15E0C"/>
    <w:rsid w:val="00E1654F"/>
    <w:rsid w:val="00E16E47"/>
    <w:rsid w:val="00E16F9A"/>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BE7"/>
    <w:rsid w:val="00E25C7A"/>
    <w:rsid w:val="00E25FB6"/>
    <w:rsid w:val="00E26138"/>
    <w:rsid w:val="00E261D5"/>
    <w:rsid w:val="00E264DE"/>
    <w:rsid w:val="00E26651"/>
    <w:rsid w:val="00E2666E"/>
    <w:rsid w:val="00E26889"/>
    <w:rsid w:val="00E26B9D"/>
    <w:rsid w:val="00E26CD6"/>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AE1"/>
    <w:rsid w:val="00E42B06"/>
    <w:rsid w:val="00E42B25"/>
    <w:rsid w:val="00E4308C"/>
    <w:rsid w:val="00E430C5"/>
    <w:rsid w:val="00E438E6"/>
    <w:rsid w:val="00E44201"/>
    <w:rsid w:val="00E446F1"/>
    <w:rsid w:val="00E44776"/>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1CA"/>
    <w:rsid w:val="00E56509"/>
    <w:rsid w:val="00E56584"/>
    <w:rsid w:val="00E567A5"/>
    <w:rsid w:val="00E573EF"/>
    <w:rsid w:val="00E574FF"/>
    <w:rsid w:val="00E57565"/>
    <w:rsid w:val="00E57A2A"/>
    <w:rsid w:val="00E57A5B"/>
    <w:rsid w:val="00E60694"/>
    <w:rsid w:val="00E61458"/>
    <w:rsid w:val="00E615B2"/>
    <w:rsid w:val="00E61AC2"/>
    <w:rsid w:val="00E61CDC"/>
    <w:rsid w:val="00E62451"/>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BAD"/>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5356"/>
    <w:rsid w:val="00E96786"/>
    <w:rsid w:val="00E96A62"/>
    <w:rsid w:val="00E96E03"/>
    <w:rsid w:val="00E972B4"/>
    <w:rsid w:val="00E97354"/>
    <w:rsid w:val="00E97E2D"/>
    <w:rsid w:val="00EA0213"/>
    <w:rsid w:val="00EA1688"/>
    <w:rsid w:val="00EA2818"/>
    <w:rsid w:val="00EA2B11"/>
    <w:rsid w:val="00EA2F76"/>
    <w:rsid w:val="00EA391F"/>
    <w:rsid w:val="00EA3A7E"/>
    <w:rsid w:val="00EA3C2A"/>
    <w:rsid w:val="00EA3F0C"/>
    <w:rsid w:val="00EA45FA"/>
    <w:rsid w:val="00EA48F3"/>
    <w:rsid w:val="00EA4C6B"/>
    <w:rsid w:val="00EA5B3A"/>
    <w:rsid w:val="00EA5BFF"/>
    <w:rsid w:val="00EA64C4"/>
    <w:rsid w:val="00EA6624"/>
    <w:rsid w:val="00EA66DB"/>
    <w:rsid w:val="00EA6881"/>
    <w:rsid w:val="00EA6D7D"/>
    <w:rsid w:val="00EA7490"/>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A13"/>
    <w:rsid w:val="00EB5FC0"/>
    <w:rsid w:val="00EB626F"/>
    <w:rsid w:val="00EB62DB"/>
    <w:rsid w:val="00EB6562"/>
    <w:rsid w:val="00EB67E7"/>
    <w:rsid w:val="00EB696E"/>
    <w:rsid w:val="00EB6BE3"/>
    <w:rsid w:val="00EB6DD9"/>
    <w:rsid w:val="00EC0CD9"/>
    <w:rsid w:val="00EC0F45"/>
    <w:rsid w:val="00EC119D"/>
    <w:rsid w:val="00EC1228"/>
    <w:rsid w:val="00EC1731"/>
    <w:rsid w:val="00EC1790"/>
    <w:rsid w:val="00EC27C6"/>
    <w:rsid w:val="00EC2CC7"/>
    <w:rsid w:val="00EC334C"/>
    <w:rsid w:val="00EC3EF9"/>
    <w:rsid w:val="00EC4007"/>
    <w:rsid w:val="00EC4207"/>
    <w:rsid w:val="00EC4417"/>
    <w:rsid w:val="00EC5653"/>
    <w:rsid w:val="00EC5C81"/>
    <w:rsid w:val="00EC6043"/>
    <w:rsid w:val="00EC66AF"/>
    <w:rsid w:val="00EC6884"/>
    <w:rsid w:val="00EC69F9"/>
    <w:rsid w:val="00EC6A60"/>
    <w:rsid w:val="00EC715F"/>
    <w:rsid w:val="00EC71CE"/>
    <w:rsid w:val="00ED1006"/>
    <w:rsid w:val="00ED1A65"/>
    <w:rsid w:val="00ED1FAC"/>
    <w:rsid w:val="00ED3079"/>
    <w:rsid w:val="00ED342B"/>
    <w:rsid w:val="00ED34AA"/>
    <w:rsid w:val="00ED389F"/>
    <w:rsid w:val="00ED3EE9"/>
    <w:rsid w:val="00ED462C"/>
    <w:rsid w:val="00ED4692"/>
    <w:rsid w:val="00ED5775"/>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60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19A0"/>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158"/>
    <w:rsid w:val="00F20452"/>
    <w:rsid w:val="00F209B7"/>
    <w:rsid w:val="00F20C42"/>
    <w:rsid w:val="00F2310B"/>
    <w:rsid w:val="00F235D0"/>
    <w:rsid w:val="00F2365E"/>
    <w:rsid w:val="00F2376F"/>
    <w:rsid w:val="00F23D3F"/>
    <w:rsid w:val="00F243D8"/>
    <w:rsid w:val="00F2511B"/>
    <w:rsid w:val="00F257F2"/>
    <w:rsid w:val="00F258D5"/>
    <w:rsid w:val="00F259B6"/>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B94"/>
    <w:rsid w:val="00F341D2"/>
    <w:rsid w:val="00F34310"/>
    <w:rsid w:val="00F34AB6"/>
    <w:rsid w:val="00F34AEF"/>
    <w:rsid w:val="00F34C8D"/>
    <w:rsid w:val="00F359F6"/>
    <w:rsid w:val="00F35E2F"/>
    <w:rsid w:val="00F35E66"/>
    <w:rsid w:val="00F36258"/>
    <w:rsid w:val="00F36429"/>
    <w:rsid w:val="00F3668A"/>
    <w:rsid w:val="00F36739"/>
    <w:rsid w:val="00F36C46"/>
    <w:rsid w:val="00F379E4"/>
    <w:rsid w:val="00F37E31"/>
    <w:rsid w:val="00F37FE7"/>
    <w:rsid w:val="00F40195"/>
    <w:rsid w:val="00F401FF"/>
    <w:rsid w:val="00F405EF"/>
    <w:rsid w:val="00F40A5A"/>
    <w:rsid w:val="00F40CDA"/>
    <w:rsid w:val="00F40F0C"/>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0E4F"/>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0B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33E0"/>
    <w:rsid w:val="00F83CB2"/>
    <w:rsid w:val="00F83E13"/>
    <w:rsid w:val="00F8456C"/>
    <w:rsid w:val="00F849CA"/>
    <w:rsid w:val="00F859D8"/>
    <w:rsid w:val="00F8640D"/>
    <w:rsid w:val="00F868F5"/>
    <w:rsid w:val="00F87E73"/>
    <w:rsid w:val="00F87FC1"/>
    <w:rsid w:val="00F9056A"/>
    <w:rsid w:val="00F90749"/>
    <w:rsid w:val="00F9082E"/>
    <w:rsid w:val="00F90D29"/>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4F3"/>
    <w:rsid w:val="00FA19CC"/>
    <w:rsid w:val="00FA1A4A"/>
    <w:rsid w:val="00FA2A0C"/>
    <w:rsid w:val="00FA2BB3"/>
    <w:rsid w:val="00FA3AAF"/>
    <w:rsid w:val="00FA4739"/>
    <w:rsid w:val="00FA4902"/>
    <w:rsid w:val="00FA4E48"/>
    <w:rsid w:val="00FA5295"/>
    <w:rsid w:val="00FA56F6"/>
    <w:rsid w:val="00FA582A"/>
    <w:rsid w:val="00FA5911"/>
    <w:rsid w:val="00FA5A10"/>
    <w:rsid w:val="00FA5EE8"/>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8E"/>
    <w:rsid w:val="00FC046F"/>
    <w:rsid w:val="00FC0B5C"/>
    <w:rsid w:val="00FC0D26"/>
    <w:rsid w:val="00FC13A2"/>
    <w:rsid w:val="00FC14FF"/>
    <w:rsid w:val="00FC2487"/>
    <w:rsid w:val="00FC3558"/>
    <w:rsid w:val="00FC3D1E"/>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31A"/>
    <w:rsid w:val="00FD646E"/>
    <w:rsid w:val="00FD662F"/>
    <w:rsid w:val="00FD6B52"/>
    <w:rsid w:val="00FD6BD5"/>
    <w:rsid w:val="00FD74DB"/>
    <w:rsid w:val="00FD7660"/>
    <w:rsid w:val="00FD76B4"/>
    <w:rsid w:val="00FD79C6"/>
    <w:rsid w:val="00FE0553"/>
    <w:rsid w:val="00FE0655"/>
    <w:rsid w:val="00FE0ADA"/>
    <w:rsid w:val="00FE0B24"/>
    <w:rsid w:val="00FE1BEC"/>
    <w:rsid w:val="00FE20E7"/>
    <w:rsid w:val="00FE2118"/>
    <w:rsid w:val="00FE2365"/>
    <w:rsid w:val="00FE34DE"/>
    <w:rsid w:val="00FE44CE"/>
    <w:rsid w:val="00FE45BC"/>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F2A"/>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A51F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F2A"/>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qFormat/>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link w:val="B10"/>
    <w:uiPriority w:val="99"/>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 w:type="paragraph" w:customStyle="1" w:styleId="NumberedParagraph">
    <w:name w:val="Numbered Paragraph"/>
    <w:basedOn w:val="Normal"/>
    <w:rsid w:val="00887D99"/>
    <w:pPr>
      <w:numPr>
        <w:numId w:val="14"/>
      </w:numPr>
      <w:spacing w:after="0" w:line="480" w:lineRule="auto"/>
    </w:pPr>
    <w:rPr>
      <w:rFonts w:ascii="Arial" w:eastAsia="Times New Roman" w:hAnsi="Arial" w:cs="Arial"/>
      <w:szCs w:val="24"/>
    </w:rPr>
  </w:style>
  <w:style w:type="table" w:customStyle="1" w:styleId="TableGrid10">
    <w:name w:val="Table Grid1"/>
    <w:basedOn w:val="TableNormal"/>
    <w:next w:val="TableGrid"/>
    <w:rsid w:val="00270039"/>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3636"/>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551696687">
      <w:bodyDiv w:val="1"/>
      <w:marLeft w:val="0"/>
      <w:marRight w:val="0"/>
      <w:marTop w:val="0"/>
      <w:marBottom w:val="0"/>
      <w:divBdr>
        <w:top w:val="none" w:sz="0" w:space="0" w:color="auto"/>
        <w:left w:val="none" w:sz="0" w:space="0" w:color="auto"/>
        <w:bottom w:val="none" w:sz="0" w:space="0" w:color="auto"/>
        <w:right w:val="none" w:sz="0" w:space="0" w:color="auto"/>
      </w:divBdr>
    </w:div>
    <w:div w:id="559482231">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0049">
      <w:bodyDiv w:val="1"/>
      <w:marLeft w:val="0"/>
      <w:marRight w:val="0"/>
      <w:marTop w:val="0"/>
      <w:marBottom w:val="0"/>
      <w:divBdr>
        <w:top w:val="none" w:sz="0" w:space="0" w:color="auto"/>
        <w:left w:val="none" w:sz="0" w:space="0" w:color="auto"/>
        <w:bottom w:val="none" w:sz="0" w:space="0" w:color="auto"/>
        <w:right w:val="none" w:sz="0" w:space="0" w:color="auto"/>
      </w:divBdr>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771822679">
      <w:bodyDiv w:val="1"/>
      <w:marLeft w:val="0"/>
      <w:marRight w:val="0"/>
      <w:marTop w:val="0"/>
      <w:marBottom w:val="0"/>
      <w:divBdr>
        <w:top w:val="none" w:sz="0" w:space="0" w:color="auto"/>
        <w:left w:val="none" w:sz="0" w:space="0" w:color="auto"/>
        <w:bottom w:val="none" w:sz="0" w:space="0" w:color="auto"/>
        <w:right w:val="none" w:sz="0" w:space="0" w:color="auto"/>
      </w:divBdr>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sChild>
        <w:div w:id="1073892909">
          <w:marLeft w:val="360"/>
          <w:marRight w:val="0"/>
          <w:marTop w:val="200"/>
          <w:marBottom w:val="0"/>
          <w:divBdr>
            <w:top w:val="none" w:sz="0" w:space="0" w:color="auto"/>
            <w:left w:val="none" w:sz="0" w:space="0" w:color="auto"/>
            <w:bottom w:val="none" w:sz="0" w:space="0" w:color="auto"/>
            <w:right w:val="none" w:sz="0" w:space="0" w:color="auto"/>
          </w:divBdr>
        </w:div>
        <w:div w:id="1696882435">
          <w:marLeft w:val="1080"/>
          <w:marRight w:val="0"/>
          <w:marTop w:val="100"/>
          <w:marBottom w:val="0"/>
          <w:divBdr>
            <w:top w:val="none" w:sz="0" w:space="0" w:color="auto"/>
            <w:left w:val="none" w:sz="0" w:space="0" w:color="auto"/>
            <w:bottom w:val="none" w:sz="0" w:space="0" w:color="auto"/>
            <w:right w:val="none" w:sz="0" w:space="0" w:color="auto"/>
          </w:divBdr>
        </w:div>
        <w:div w:id="1523855098">
          <w:marLeft w:val="1080"/>
          <w:marRight w:val="0"/>
          <w:marTop w:val="100"/>
          <w:marBottom w:val="0"/>
          <w:divBdr>
            <w:top w:val="none" w:sz="0" w:space="0" w:color="auto"/>
            <w:left w:val="none" w:sz="0" w:space="0" w:color="auto"/>
            <w:bottom w:val="none" w:sz="0" w:space="0" w:color="auto"/>
            <w:right w:val="none" w:sz="0" w:space="0" w:color="auto"/>
          </w:divBdr>
        </w:div>
        <w:div w:id="612786770">
          <w:marLeft w:val="360"/>
          <w:marRight w:val="0"/>
          <w:marTop w:val="200"/>
          <w:marBottom w:val="0"/>
          <w:divBdr>
            <w:top w:val="none" w:sz="0" w:space="0" w:color="auto"/>
            <w:left w:val="none" w:sz="0" w:space="0" w:color="auto"/>
            <w:bottom w:val="none" w:sz="0" w:space="0" w:color="auto"/>
            <w:right w:val="none" w:sz="0" w:space="0" w:color="auto"/>
          </w:divBdr>
        </w:div>
        <w:div w:id="1505632691">
          <w:marLeft w:val="1080"/>
          <w:marRight w:val="0"/>
          <w:marTop w:val="100"/>
          <w:marBottom w:val="0"/>
          <w:divBdr>
            <w:top w:val="none" w:sz="0" w:space="0" w:color="auto"/>
            <w:left w:val="none" w:sz="0" w:space="0" w:color="auto"/>
            <w:bottom w:val="none" w:sz="0" w:space="0" w:color="auto"/>
            <w:right w:val="none" w:sz="0" w:space="0" w:color="auto"/>
          </w:divBdr>
        </w:div>
        <w:div w:id="1734893396">
          <w:marLeft w:val="360"/>
          <w:marRight w:val="0"/>
          <w:marTop w:val="200"/>
          <w:marBottom w:val="0"/>
          <w:divBdr>
            <w:top w:val="none" w:sz="0" w:space="0" w:color="auto"/>
            <w:left w:val="none" w:sz="0" w:space="0" w:color="auto"/>
            <w:bottom w:val="none" w:sz="0" w:space="0" w:color="auto"/>
            <w:right w:val="none" w:sz="0" w:space="0" w:color="auto"/>
          </w:divBdr>
        </w:div>
        <w:div w:id="563830581">
          <w:marLeft w:val="1080"/>
          <w:marRight w:val="0"/>
          <w:marTop w:val="100"/>
          <w:marBottom w:val="0"/>
          <w:divBdr>
            <w:top w:val="none" w:sz="0" w:space="0" w:color="auto"/>
            <w:left w:val="none" w:sz="0" w:space="0" w:color="auto"/>
            <w:bottom w:val="none" w:sz="0" w:space="0" w:color="auto"/>
            <w:right w:val="none" w:sz="0" w:space="0" w:color="auto"/>
          </w:divBdr>
        </w:div>
        <w:div w:id="98917096">
          <w:marLeft w:val="1080"/>
          <w:marRight w:val="0"/>
          <w:marTop w:val="100"/>
          <w:marBottom w:val="0"/>
          <w:divBdr>
            <w:top w:val="none" w:sz="0" w:space="0" w:color="auto"/>
            <w:left w:val="none" w:sz="0" w:space="0" w:color="auto"/>
            <w:bottom w:val="none" w:sz="0" w:space="0" w:color="auto"/>
            <w:right w:val="none" w:sz="0" w:space="0" w:color="auto"/>
          </w:divBdr>
        </w:div>
        <w:div w:id="1248687081">
          <w:marLeft w:val="1080"/>
          <w:marRight w:val="0"/>
          <w:marTop w:val="100"/>
          <w:marBottom w:val="0"/>
          <w:divBdr>
            <w:top w:val="none" w:sz="0" w:space="0" w:color="auto"/>
            <w:left w:val="none" w:sz="0" w:space="0" w:color="auto"/>
            <w:bottom w:val="none" w:sz="0" w:space="0" w:color="auto"/>
            <w:right w:val="none" w:sz="0" w:space="0" w:color="auto"/>
          </w:divBdr>
        </w:div>
        <w:div w:id="20206718">
          <w:marLeft w:val="360"/>
          <w:marRight w:val="0"/>
          <w:marTop w:val="200"/>
          <w:marBottom w:val="0"/>
          <w:divBdr>
            <w:top w:val="none" w:sz="0" w:space="0" w:color="auto"/>
            <w:left w:val="none" w:sz="0" w:space="0" w:color="auto"/>
            <w:bottom w:val="none" w:sz="0" w:space="0" w:color="auto"/>
            <w:right w:val="none" w:sz="0" w:space="0" w:color="auto"/>
          </w:divBdr>
        </w:div>
        <w:div w:id="799956341">
          <w:marLeft w:val="360"/>
          <w:marRight w:val="0"/>
          <w:marTop w:val="200"/>
          <w:marBottom w:val="0"/>
          <w:divBdr>
            <w:top w:val="none" w:sz="0" w:space="0" w:color="auto"/>
            <w:left w:val="none" w:sz="0" w:space="0" w:color="auto"/>
            <w:bottom w:val="none" w:sz="0" w:space="0" w:color="auto"/>
            <w:right w:val="none" w:sz="0" w:space="0" w:color="auto"/>
          </w:divBdr>
        </w:div>
        <w:div w:id="1806778652">
          <w:marLeft w:val="360"/>
          <w:marRight w:val="0"/>
          <w:marTop w:val="200"/>
          <w:marBottom w:val="0"/>
          <w:divBdr>
            <w:top w:val="none" w:sz="0" w:space="0" w:color="auto"/>
            <w:left w:val="none" w:sz="0" w:space="0" w:color="auto"/>
            <w:bottom w:val="none" w:sz="0" w:space="0" w:color="auto"/>
            <w:right w:val="none" w:sz="0" w:space="0" w:color="auto"/>
          </w:divBdr>
        </w:div>
        <w:div w:id="1209295411">
          <w:marLeft w:val="360"/>
          <w:marRight w:val="0"/>
          <w:marTop w:val="200"/>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 w:id="21427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3.png"/><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6AF52-4EAD-4C96-B4A9-8648F5D0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5849</Words>
  <Characters>33341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2017-09-16T16:44:00Z</dcterms:created>
  <dcterms:modified xsi:type="dcterms:W3CDTF">2017-11-17T12:40:00Z</dcterms:modified>
</cp:coreProperties>
</file>